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B5" w:rsidRDefault="00C77FB5" w:rsidP="007B760E">
      <w:pPr>
        <w:pStyle w:val="SubHeading"/>
        <w:keepNext w:val="0"/>
        <w:jc w:val="center"/>
        <w:rPr>
          <w:rFonts w:cs="Arial"/>
          <w:sz w:val="24"/>
          <w:lang w:val="en-AU"/>
        </w:rPr>
      </w:pPr>
      <w:bookmarkStart w:id="0" w:name="_GoBack"/>
      <w:bookmarkEnd w:id="0"/>
    </w:p>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Substance,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E31E8F">
      <w:pPr>
        <w:pStyle w:val="SubHeading"/>
        <w:keepNext w:val="0"/>
        <w:rPr>
          <w:rFonts w:cs="Arial"/>
          <w:color w:val="000000"/>
          <w:lang w:val="en-AU"/>
        </w:rPr>
      </w:pPr>
      <w:r w:rsidRPr="00BC1EC3">
        <w:rPr>
          <w:rFonts w:cs="Arial"/>
          <w:lang w:val="en-AU"/>
        </w:rPr>
        <w:t xml:space="preserve">Product name: </w:t>
      </w:r>
      <w:r>
        <w:rPr>
          <w:rFonts w:cs="Arial"/>
          <w:b w:val="0"/>
          <w:color w:val="000000"/>
          <w:sz w:val="36"/>
          <w:lang w:val="en-AU"/>
        </w:rPr>
        <w:t>TYRE SHINE</w:t>
      </w:r>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Water Based Tyre Shine</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5748" w:type="dxa"/>
        <w:tblLayout w:type="fixed"/>
        <w:tblLook w:val="0000" w:firstRow="0" w:lastRow="0" w:firstColumn="0" w:lastColumn="0" w:noHBand="0" w:noVBand="0"/>
      </w:tblPr>
      <w:tblGrid>
        <w:gridCol w:w="1809"/>
        <w:gridCol w:w="3939"/>
      </w:tblGrid>
      <w:tr w:rsidR="00607481">
        <w:tc>
          <w:tcPr>
            <w:tcW w:w="1809" w:type="dxa"/>
          </w:tcPr>
          <w:p w:rsidR="003958BC" w:rsidRPr="001716A4" w:rsidRDefault="003958BC" w:rsidP="009B0794">
            <w:pPr>
              <w:pStyle w:val="SubHeading"/>
              <w:keepNext w:val="0"/>
              <w:widowControl/>
            </w:pPr>
            <w:r w:rsidRPr="001716A4">
              <w:t>Supplier:</w:t>
            </w:r>
          </w:p>
        </w:tc>
        <w:tc>
          <w:tcPr>
            <w:tcW w:w="3939" w:type="dxa"/>
          </w:tcPr>
          <w:p w:rsidR="003958BC" w:rsidRPr="001716A4" w:rsidRDefault="003958BC" w:rsidP="003958BC">
            <w:pPr>
              <w:pStyle w:val="NewNormal"/>
              <w:widowControl/>
            </w:pPr>
            <w:r>
              <w:t>Tasman Chemicals Pty Ltd</w:t>
            </w:r>
          </w:p>
        </w:tc>
      </w:tr>
      <w:tr w:rsidR="00607481">
        <w:tc>
          <w:tcPr>
            <w:tcW w:w="1809" w:type="dxa"/>
          </w:tcPr>
          <w:p w:rsidR="003958BC" w:rsidRPr="001716A4" w:rsidRDefault="003958BC" w:rsidP="009B0794">
            <w:pPr>
              <w:pStyle w:val="SubHeading"/>
              <w:keepNext w:val="0"/>
              <w:widowControl/>
            </w:pPr>
            <w:r>
              <w:t>ACN</w:t>
            </w:r>
          </w:p>
        </w:tc>
        <w:tc>
          <w:tcPr>
            <w:tcW w:w="3939" w:type="dxa"/>
          </w:tcPr>
          <w:p w:rsidR="003958BC" w:rsidRPr="001716A4" w:rsidRDefault="003958BC" w:rsidP="009B0794">
            <w:pPr>
              <w:pStyle w:val="NewNormal"/>
              <w:widowControl/>
            </w:pPr>
            <w:r>
              <w:t>005 072 659</w:t>
            </w:r>
          </w:p>
        </w:tc>
      </w:tr>
      <w:tr w:rsidR="00607481">
        <w:tc>
          <w:tcPr>
            <w:tcW w:w="1809" w:type="dxa"/>
          </w:tcPr>
          <w:p w:rsidR="003958BC" w:rsidRPr="001716A4" w:rsidRDefault="003958BC" w:rsidP="009B0794">
            <w:pPr>
              <w:pStyle w:val="SubHeading"/>
              <w:keepNext w:val="0"/>
              <w:widowControl/>
            </w:pPr>
            <w:r w:rsidRPr="001716A4">
              <w:t>Street Address:</w:t>
            </w:r>
          </w:p>
        </w:tc>
        <w:tc>
          <w:tcPr>
            <w:tcW w:w="3939" w:type="dxa"/>
          </w:tcPr>
          <w:p w:rsidR="003958BC" w:rsidRPr="001716A4" w:rsidRDefault="003958BC" w:rsidP="009B0794">
            <w:pPr>
              <w:pStyle w:val="NewNormal"/>
              <w:widowControl/>
            </w:pPr>
            <w:r>
              <w:t>1-7 Bell Grove</w:t>
            </w:r>
          </w:p>
        </w:tc>
      </w:tr>
      <w:tr w:rsidR="00607481">
        <w:tc>
          <w:tcPr>
            <w:tcW w:w="1809" w:type="dxa"/>
          </w:tcPr>
          <w:p w:rsidR="003958BC" w:rsidRPr="001716A4" w:rsidRDefault="003958BC" w:rsidP="009B0794">
            <w:pPr>
              <w:pStyle w:val="NewNormal"/>
              <w:widowControl/>
            </w:pPr>
          </w:p>
        </w:tc>
        <w:tc>
          <w:tcPr>
            <w:tcW w:w="3939" w:type="dxa"/>
          </w:tcPr>
          <w:p w:rsidR="003958BC" w:rsidRPr="001716A4" w:rsidRDefault="003958BC" w:rsidP="009B0794">
            <w:pPr>
              <w:pStyle w:val="NewNormal"/>
              <w:widowControl/>
            </w:pPr>
            <w:r>
              <w:t>Braeside, VIC, 3195</w:t>
            </w:r>
          </w:p>
        </w:tc>
      </w:tr>
      <w:tr w:rsidR="00607481">
        <w:tc>
          <w:tcPr>
            <w:tcW w:w="1809" w:type="dxa"/>
          </w:tcPr>
          <w:p w:rsidR="003958BC" w:rsidRPr="001716A4" w:rsidRDefault="003958BC" w:rsidP="009B0794">
            <w:pPr>
              <w:pStyle w:val="NewNormal"/>
              <w:widowControl/>
            </w:pPr>
          </w:p>
        </w:tc>
        <w:tc>
          <w:tcPr>
            <w:tcW w:w="3939" w:type="dxa"/>
          </w:tcPr>
          <w:p w:rsidR="003958BC" w:rsidRPr="001716A4" w:rsidRDefault="003958BC" w:rsidP="009B0794">
            <w:pPr>
              <w:pStyle w:val="NewNormal"/>
              <w:widowControl/>
            </w:pPr>
            <w:r>
              <w:t>Australia</w:t>
            </w:r>
          </w:p>
        </w:tc>
      </w:tr>
      <w:tr w:rsidR="00607481">
        <w:tc>
          <w:tcPr>
            <w:tcW w:w="1809" w:type="dxa"/>
          </w:tcPr>
          <w:p w:rsidR="003958BC" w:rsidRPr="001716A4" w:rsidRDefault="003958BC" w:rsidP="009B0794">
            <w:pPr>
              <w:pStyle w:val="SubHeading"/>
              <w:keepNext w:val="0"/>
              <w:widowControl/>
            </w:pPr>
            <w:r w:rsidRPr="001716A4">
              <w:t>Telephone:</w:t>
            </w:r>
          </w:p>
        </w:tc>
        <w:tc>
          <w:tcPr>
            <w:tcW w:w="3939" w:type="dxa"/>
          </w:tcPr>
          <w:p w:rsidR="003958BC" w:rsidRPr="001716A4" w:rsidRDefault="003958BC" w:rsidP="00A32D3A">
            <w:pPr>
              <w:pStyle w:val="SubHeading"/>
              <w:keepNext w:val="0"/>
              <w:widowControl/>
            </w:pPr>
            <w:r w:rsidRPr="001716A4">
              <w:t>+61</w:t>
            </w:r>
            <w:r>
              <w:t>3 9587-6777</w:t>
            </w:r>
          </w:p>
        </w:tc>
      </w:tr>
      <w:tr w:rsidR="00607481">
        <w:tc>
          <w:tcPr>
            <w:tcW w:w="1809" w:type="dxa"/>
          </w:tcPr>
          <w:p w:rsidR="003958BC" w:rsidRPr="001716A4" w:rsidRDefault="003958BC" w:rsidP="009B0794">
            <w:pPr>
              <w:pStyle w:val="SubHeading"/>
              <w:keepNext w:val="0"/>
              <w:widowControl/>
            </w:pPr>
            <w:r w:rsidRPr="001716A4">
              <w:t>Facsimile:</w:t>
            </w:r>
          </w:p>
        </w:tc>
        <w:tc>
          <w:tcPr>
            <w:tcW w:w="3939" w:type="dxa"/>
          </w:tcPr>
          <w:p w:rsidR="003958BC" w:rsidRPr="001716A4" w:rsidRDefault="003958BC" w:rsidP="00107A74">
            <w:pPr>
              <w:pStyle w:val="SubHeading"/>
              <w:keepNext w:val="0"/>
              <w:widowControl/>
            </w:pPr>
            <w:r w:rsidRPr="001716A4">
              <w:t>+61</w:t>
            </w:r>
            <w:r>
              <w:t>3 9587-5255</w:t>
            </w:r>
          </w:p>
        </w:tc>
      </w:tr>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607481">
        <w:trPr>
          <w:cantSplit/>
        </w:trPr>
        <w:tc>
          <w:tcPr>
            <w:tcW w:w="3228" w:type="dxa"/>
            <w:tcBorders>
              <w:top w:val="nil"/>
              <w:left w:val="nil"/>
              <w:bottom w:val="nil"/>
              <w:right w:val="nil"/>
            </w:tcBorders>
          </w:tcPr>
          <w:p w:rsidR="00DC00C8" w:rsidRDefault="00DC00C8" w:rsidP="009B0794">
            <w:pPr>
              <w:pStyle w:val="NewNormal"/>
              <w:rPr>
                <w:lang w:val="en-AU"/>
              </w:rPr>
            </w:pPr>
            <w:r>
              <w:rPr>
                <w:b/>
                <w:lang w:val="en-AU"/>
              </w:rPr>
              <w:t>Emergency Telephone number:</w:t>
            </w:r>
          </w:p>
        </w:tc>
        <w:tc>
          <w:tcPr>
            <w:tcW w:w="6960" w:type="dxa"/>
            <w:tcBorders>
              <w:top w:val="nil"/>
              <w:left w:val="nil"/>
              <w:bottom w:val="nil"/>
              <w:right w:val="nil"/>
            </w:tcBorders>
          </w:tcPr>
          <w:p w:rsidR="00DC00C8" w:rsidRPr="003958BC" w:rsidRDefault="00EB28A7" w:rsidP="00107A74">
            <w:pPr>
              <w:pStyle w:val="NewNormal"/>
              <w:rPr>
                <w:b/>
                <w:lang w:val="en-AU"/>
              </w:rPr>
            </w:pPr>
            <w:r>
              <w:rPr>
                <w:b/>
                <w:lang w:val="en-AU"/>
              </w:rPr>
              <w:t xml:space="preserve">Australia </w:t>
            </w:r>
            <w:r w:rsidR="003958BC">
              <w:rPr>
                <w:b/>
                <w:lang w:val="en-AU"/>
              </w:rPr>
              <w:t>1800 334 556</w:t>
            </w:r>
          </w:p>
        </w:tc>
      </w:tr>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B06937" w:rsidRDefault="00B06937" w:rsidP="00B06937">
      <w:pPr>
        <w:pStyle w:val="NewNormal"/>
        <w:rPr>
          <w:rFonts w:cs="Arial"/>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r w:rsidRPr="00172CA7">
        <w:rPr>
          <w:rFonts w:cs="Arial"/>
          <w:lang w:val="en-AU"/>
        </w:rPr>
        <w:t xml:space="preserve"> </w:t>
      </w: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607481">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607481">
        <w:tc>
          <w:tcPr>
            <w:tcW w:w="6946" w:type="dxa"/>
          </w:tcPr>
          <w:p w:rsidR="000A640B" w:rsidRDefault="00165B3D" w:rsidP="007776FB">
            <w:pPr>
              <w:pStyle w:val="NewNormal"/>
              <w:rPr>
                <w:rFonts w:cs="Arial"/>
                <w:lang w:val="en-AU"/>
              </w:rPr>
            </w:pPr>
            <w:r>
              <w:rPr>
                <w:rFonts w:cs="Arial"/>
                <w:lang w:val="en-AU"/>
              </w:rPr>
              <w:t>Glycerine</w:t>
            </w:r>
          </w:p>
        </w:tc>
        <w:tc>
          <w:tcPr>
            <w:tcW w:w="1560" w:type="dxa"/>
          </w:tcPr>
          <w:p w:rsidR="00607481" w:rsidRDefault="00D50323">
            <w:pPr>
              <w:pStyle w:val="NewNormal"/>
              <w:rPr>
                <w:rFonts w:cs="Arial"/>
                <w:lang w:val="en-AU"/>
              </w:rPr>
            </w:pPr>
            <w:r>
              <w:rPr>
                <w:rFonts w:cs="Arial"/>
                <w:lang w:val="en-AU"/>
              </w:rPr>
              <w:t>56-81-5</w:t>
            </w:r>
          </w:p>
        </w:tc>
        <w:tc>
          <w:tcPr>
            <w:tcW w:w="1842" w:type="dxa"/>
          </w:tcPr>
          <w:p w:rsidR="000A640B" w:rsidRDefault="00165B3D" w:rsidP="003C69E2">
            <w:pPr>
              <w:pStyle w:val="NewNormal"/>
              <w:jc w:val="right"/>
              <w:rPr>
                <w:rFonts w:cs="Arial"/>
                <w:lang w:val="en-AU"/>
              </w:rPr>
            </w:pPr>
            <w:r>
              <w:rPr>
                <w:rFonts w:cs="Arial"/>
                <w:lang w:val="en-AU"/>
              </w:rPr>
              <w:t>30 - 60</w:t>
            </w:r>
            <w:r w:rsidR="000A640B">
              <w:rPr>
                <w:rFonts w:cs="Arial"/>
                <w:lang w:val="en-AU"/>
              </w:rPr>
              <w:t xml:space="preserve"> </w:t>
            </w:r>
            <w:r>
              <w:rPr>
                <w:rFonts w:cs="Arial"/>
                <w:lang w:val="en-AU"/>
              </w:rPr>
              <w:t>% (w/v)</w:t>
            </w:r>
          </w:p>
        </w:tc>
      </w:tr>
      <w:tr w:rsidR="00607481">
        <w:tc>
          <w:tcPr>
            <w:tcW w:w="6946" w:type="dxa"/>
          </w:tcPr>
          <w:p w:rsidR="000A640B" w:rsidRDefault="00165B3D" w:rsidP="007776FB">
            <w:pPr>
              <w:pStyle w:val="NewNormal"/>
              <w:rPr>
                <w:rFonts w:cs="Arial"/>
                <w:lang w:val="en-AU"/>
              </w:rPr>
            </w:pPr>
            <w:r>
              <w:rPr>
                <w:rFonts w:cs="Arial"/>
                <w:lang w:val="en-AU"/>
              </w:rPr>
              <w:t>Ingredients determined to be non-hazardous</w:t>
            </w:r>
          </w:p>
        </w:tc>
        <w:tc>
          <w:tcPr>
            <w:tcW w:w="1560" w:type="dxa"/>
          </w:tcPr>
          <w:p w:rsidR="00607481" w:rsidRDefault="00607481">
            <w:pPr>
              <w:pStyle w:val="NewNormal"/>
              <w:rPr>
                <w:rFonts w:cs="Arial"/>
                <w:lang w:val="en-AU"/>
              </w:rPr>
            </w:pPr>
          </w:p>
        </w:tc>
        <w:tc>
          <w:tcPr>
            <w:tcW w:w="1842" w:type="dxa"/>
          </w:tcPr>
          <w:p w:rsidR="000A640B" w:rsidRDefault="00165B3D"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 xml:space="preserve">If swallowed, do NOT induce vomiting.  Give a glass of water to drink.  </w:t>
      </w:r>
      <w:r w:rsidR="001713BA" w:rsidRPr="001713BA">
        <w:rPr>
          <w:rFonts w:cs="Arial"/>
          <w:lang w:val="en-AU"/>
        </w:rPr>
        <w:lastRenderedPageBreak/>
        <w:t>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845DF0">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Dangerous Goods –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r w:rsidR="00643556" w:rsidRP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607481">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607481">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607481">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607481">
        <w:tc>
          <w:tcPr>
            <w:tcW w:w="4536" w:type="dxa"/>
          </w:tcPr>
          <w:p w:rsidR="001909DD" w:rsidRDefault="00165B3D" w:rsidP="00CF6FAF">
            <w:pPr>
              <w:pStyle w:val="NewNormal"/>
              <w:tabs>
                <w:tab w:val="left" w:pos="945"/>
              </w:tabs>
              <w:rPr>
                <w:rFonts w:cs="Arial"/>
                <w:lang w:val="en-AU"/>
              </w:rPr>
            </w:pPr>
            <w:r>
              <w:rPr>
                <w:rFonts w:cs="Arial"/>
                <w:lang w:val="en-AU"/>
              </w:rPr>
              <w:t>Glycerin mist</w:t>
            </w:r>
          </w:p>
        </w:tc>
        <w:tc>
          <w:tcPr>
            <w:tcW w:w="1021" w:type="dxa"/>
          </w:tcPr>
          <w:p w:rsidR="00607481" w:rsidRDefault="00D50323">
            <w:pPr>
              <w:pStyle w:val="NewNormal"/>
              <w:tabs>
                <w:tab w:val="left" w:pos="945"/>
              </w:tabs>
              <w:jc w:val="center"/>
              <w:rPr>
                <w:rFonts w:cs="Arial"/>
                <w:lang w:val="en-AU"/>
              </w:rPr>
            </w:pPr>
            <w:r>
              <w:rPr>
                <w:rFonts w:cs="Arial"/>
                <w:lang w:val="en-AU"/>
              </w:rPr>
              <w:t>-</w:t>
            </w:r>
          </w:p>
        </w:tc>
        <w:tc>
          <w:tcPr>
            <w:tcW w:w="1021" w:type="dxa"/>
          </w:tcPr>
          <w:p w:rsidR="00607481" w:rsidRDefault="00D50323">
            <w:pPr>
              <w:pStyle w:val="NewNormal"/>
              <w:tabs>
                <w:tab w:val="left" w:pos="945"/>
              </w:tabs>
              <w:jc w:val="center"/>
              <w:rPr>
                <w:rFonts w:cs="Arial"/>
                <w:lang w:val="en-AU"/>
              </w:rPr>
            </w:pPr>
            <w:r>
              <w:rPr>
                <w:rFonts w:cs="Arial"/>
                <w:lang w:val="en-AU"/>
              </w:rPr>
              <w:t>10</w:t>
            </w:r>
          </w:p>
        </w:tc>
        <w:tc>
          <w:tcPr>
            <w:tcW w:w="1021" w:type="dxa"/>
          </w:tcPr>
          <w:p w:rsidR="00607481" w:rsidRDefault="00D50323">
            <w:pPr>
              <w:pStyle w:val="NewNormal"/>
              <w:tabs>
                <w:tab w:val="left" w:pos="945"/>
              </w:tabs>
              <w:jc w:val="center"/>
              <w:rPr>
                <w:rFonts w:cs="Arial"/>
                <w:lang w:val="en-AU"/>
              </w:rPr>
            </w:pPr>
            <w:r>
              <w:rPr>
                <w:rFonts w:cs="Arial"/>
                <w:lang w:val="en-AU"/>
              </w:rPr>
              <w:t>-</w:t>
            </w:r>
          </w:p>
        </w:tc>
        <w:tc>
          <w:tcPr>
            <w:tcW w:w="1021" w:type="dxa"/>
          </w:tcPr>
          <w:p w:rsidR="00607481" w:rsidRDefault="00D50323">
            <w:pPr>
              <w:pStyle w:val="NewNormal"/>
              <w:tabs>
                <w:tab w:val="left" w:pos="945"/>
              </w:tabs>
              <w:jc w:val="center"/>
              <w:rPr>
                <w:rFonts w:cs="Arial"/>
                <w:lang w:val="en-AU"/>
              </w:rPr>
            </w:pPr>
            <w:r>
              <w:rPr>
                <w:rFonts w:cs="Arial"/>
                <w:lang w:val="en-AU"/>
              </w:rPr>
              <w:t>-</w:t>
            </w:r>
          </w:p>
        </w:tc>
        <w:tc>
          <w:tcPr>
            <w:tcW w:w="1361" w:type="dxa"/>
          </w:tcPr>
          <w:p w:rsidR="00607481" w:rsidRDefault="00D50323">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Pr="001E7B81" w:rsidRDefault="001E7B81" w:rsidP="001E7B81">
      <w:pPr>
        <w:pStyle w:val="NewNormal"/>
        <w:rPr>
          <w:rFonts w:cs="Arial"/>
          <w:b/>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GLOVES, SAFETY GLASSES</w:t>
      </w:r>
      <w:r w:rsidR="00264347">
        <w:rPr>
          <w:rFonts w:cs="Arial"/>
          <w:lang w:val="en-AU"/>
        </w:rPr>
        <w:t>.</w:t>
      </w:r>
    </w:p>
    <w:p w:rsidR="00DC271F" w:rsidRDefault="00DC271F"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t>safety shoes, gloves, safety glasses</w:t>
      </w:r>
      <w:r>
        <w:rPr>
          <w:rFonts w:cs="Arial"/>
          <w:lang w:val="en-AU"/>
        </w:rPr>
        <w:t>.</w:t>
      </w:r>
      <w:r w:rsidR="002652D8" w:rsidRPr="008028B1">
        <w:rPr>
          <w:rFonts w:cs="Arial"/>
          <w:lang w:val="en-AU"/>
        </w:rPr>
        <w:t xml:space="preserve">Available information suggests that gloves made from </w:t>
      </w:r>
      <w:r>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607481">
        <w:tc>
          <w:tcPr>
            <w:tcW w:w="1951" w:type="dxa"/>
          </w:tcPr>
          <w:p w:rsidR="00FB5DB0" w:rsidRPr="00FB5DB0" w:rsidRDefault="00FB5DB0" w:rsidP="00983E9A">
            <w:pPr>
              <w:pStyle w:val="NewNormal"/>
              <w:rPr>
                <w:rFonts w:cs="Arial"/>
                <w:lang w:val="en-AU"/>
              </w:rPr>
            </w:pPr>
            <w:r w:rsidRPr="00FB5DB0">
              <w:rPr>
                <w:rFonts w:cs="Arial"/>
                <w:b/>
                <w:lang w:val="en-AU"/>
              </w:rPr>
              <w:t>Material Family:</w:t>
            </w:r>
          </w:p>
        </w:tc>
        <w:tc>
          <w:tcPr>
            <w:tcW w:w="7291" w:type="dxa"/>
          </w:tcPr>
          <w:p w:rsidR="00FB5DB0" w:rsidRPr="00FB5DB0" w:rsidRDefault="00165B3D" w:rsidP="00983E9A">
            <w:pPr>
              <w:pStyle w:val="NewNormal"/>
              <w:rPr>
                <w:rFonts w:cs="Arial"/>
                <w:lang w:val="en-AU"/>
              </w:rPr>
            </w:pPr>
            <w:r>
              <w:rPr>
                <w:rFonts w:cs="Arial"/>
                <w:lang w:val="en-AU"/>
              </w:rPr>
              <w:t>Aqueous Formulation</w:t>
            </w:r>
          </w:p>
        </w:tc>
      </w:tr>
      <w:tr w:rsidR="00607481">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165B3D" w:rsidP="00983E9A">
            <w:pPr>
              <w:pStyle w:val="NewNormal"/>
              <w:rPr>
                <w:rFonts w:cs="Arial"/>
                <w:lang w:val="en-AU"/>
              </w:rPr>
            </w:pPr>
            <w:r>
              <w:rPr>
                <w:rFonts w:cs="Arial"/>
                <w:lang w:val="en-AU"/>
              </w:rPr>
              <w:t>Litres</w:t>
            </w:r>
          </w:p>
        </w:tc>
      </w:tr>
      <w:tr w:rsidR="00607481">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165B3D" w:rsidP="00983E9A">
            <w:pPr>
              <w:pStyle w:val="NewNormal"/>
              <w:rPr>
                <w:rFonts w:cs="Arial"/>
                <w:lang w:val="en-AU"/>
              </w:rPr>
            </w:pPr>
            <w:r>
              <w:rPr>
                <w:rFonts w:cs="Arial"/>
                <w:lang w:val="en-AU"/>
              </w:rPr>
              <w:t>Clear Liquid</w:t>
            </w:r>
          </w:p>
        </w:tc>
      </w:tr>
      <w:tr w:rsidR="00607481">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165B3D" w:rsidP="00983E9A">
            <w:pPr>
              <w:pStyle w:val="NewNormal"/>
              <w:rPr>
                <w:rFonts w:cs="Arial"/>
                <w:lang w:val="en-AU"/>
              </w:rPr>
            </w:pPr>
            <w:r>
              <w:rPr>
                <w:rFonts w:cs="Arial"/>
                <w:lang w:val="en-AU"/>
              </w:rPr>
              <w:t>Blue</w:t>
            </w:r>
          </w:p>
        </w:tc>
      </w:tr>
      <w:tr w:rsidR="00607481">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165B3D" w:rsidP="00983E9A">
            <w:pPr>
              <w:pStyle w:val="NewNormal"/>
              <w:rPr>
                <w:rFonts w:cs="Arial"/>
                <w:lang w:val="en-AU"/>
              </w:rPr>
            </w:pPr>
            <w:r>
              <w:rPr>
                <w:rFonts w:cs="Arial"/>
                <w:lang w:val="en-AU"/>
              </w:rPr>
              <w:t>N App</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607481">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165B3D" w:rsidP="00446760">
            <w:pPr>
              <w:pStyle w:val="NewNormal"/>
              <w:rPr>
                <w:rFonts w:cs="Arial"/>
                <w:lang w:val="en-AU"/>
              </w:rPr>
            </w:pPr>
            <w:r>
              <w:rPr>
                <w:rFonts w:cs="Arial"/>
                <w:lang w:val="en-AU"/>
              </w:rPr>
              <w:t>Miscible in water</w:t>
            </w:r>
          </w:p>
        </w:tc>
      </w:tr>
      <w:tr w:rsidR="00607481">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165B3D" w:rsidP="00446760">
            <w:pPr>
              <w:pStyle w:val="NewNormal"/>
              <w:rPr>
                <w:rFonts w:cs="Arial"/>
                <w:lang w:val="en-AU"/>
              </w:rPr>
            </w:pPr>
            <w:r>
              <w:rPr>
                <w:rFonts w:cs="Arial"/>
                <w:lang w:val="en-AU"/>
              </w:rPr>
              <w:t>1.10</w:t>
            </w:r>
          </w:p>
        </w:tc>
      </w:tr>
      <w:tr w:rsidR="00607481">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165B3D" w:rsidP="00446760">
            <w:pPr>
              <w:pStyle w:val="NewNormal"/>
              <w:rPr>
                <w:rFonts w:cs="Arial"/>
                <w:lang w:val="en-AU"/>
              </w:rPr>
            </w:pPr>
            <w:r>
              <w:rPr>
                <w:rFonts w:cs="Arial"/>
                <w:lang w:val="en-AU"/>
              </w:rPr>
              <w:t>N App</w:t>
            </w:r>
          </w:p>
        </w:tc>
      </w:tr>
      <w:tr w:rsidR="00607481">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165B3D" w:rsidP="00446760">
            <w:pPr>
              <w:pStyle w:val="NewNormal"/>
              <w:rPr>
                <w:rFonts w:cs="Arial"/>
                <w:lang w:val="en-AU"/>
              </w:rPr>
            </w:pPr>
            <w:r>
              <w:rPr>
                <w:rFonts w:cs="Arial"/>
                <w:lang w:val="en-AU"/>
              </w:rPr>
              <w:t>100</w:t>
            </w:r>
          </w:p>
        </w:tc>
      </w:tr>
      <w:tr w:rsidR="00607481">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165B3D" w:rsidP="00446760">
            <w:pPr>
              <w:pStyle w:val="NewNormal"/>
              <w:rPr>
                <w:rFonts w:cs="Arial"/>
                <w:lang w:val="en-AU"/>
              </w:rPr>
            </w:pPr>
            <w:r>
              <w:rPr>
                <w:rFonts w:cs="Arial"/>
                <w:lang w:val="en-AU"/>
              </w:rPr>
              <w:t>0</w:t>
            </w:r>
          </w:p>
        </w:tc>
      </w:tr>
      <w:tr w:rsidR="00607481">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165B3D" w:rsidP="00446760">
            <w:pPr>
              <w:pStyle w:val="NewNormal"/>
              <w:rPr>
                <w:rFonts w:cs="Arial"/>
                <w:lang w:val="en-GB"/>
              </w:rPr>
            </w:pPr>
            <w:r>
              <w:rPr>
                <w:rFonts w:cs="Arial"/>
                <w:lang w:val="en-GB"/>
              </w:rPr>
              <w:t>8 - 9</w:t>
            </w:r>
          </w:p>
        </w:tc>
      </w:tr>
      <w:tr w:rsidR="00607481">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165B3D" w:rsidP="00446760">
            <w:pPr>
              <w:pStyle w:val="NewNormal"/>
              <w:rPr>
                <w:rFonts w:cs="Arial"/>
                <w:lang w:val="en-AU"/>
              </w:rPr>
            </w:pPr>
            <w:r>
              <w:rPr>
                <w:rFonts w:cs="Arial"/>
                <w:lang w:val="en-AU"/>
              </w:rPr>
              <w:t>Viscous Liquid</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607481">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165B3D"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03595D">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993" w:left="993" w:header="709"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3D" w:rsidRDefault="00165B3D" w:rsidP="00BC1EC3">
      <w:pPr>
        <w:spacing w:after="0" w:line="240" w:lineRule="auto"/>
      </w:pPr>
      <w:r>
        <w:separator/>
      </w:r>
    </w:p>
  </w:endnote>
  <w:endnote w:type="continuationSeparator" w:id="0">
    <w:p w:rsidR="00165B3D" w:rsidRDefault="00165B3D"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4" w:rsidRDefault="00D33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607481">
      <w:trPr>
        <w:gridAfter w:val="1"/>
        <w:wAfter w:w="10" w:type="dxa"/>
      </w:trPr>
      <w:tc>
        <w:tcPr>
          <w:tcW w:w="6379" w:type="dxa"/>
          <w:gridSpan w:val="3"/>
          <w:tcBorders>
            <w:top w:val="single" w:sz="12" w:space="0" w:color="auto"/>
            <w:left w:val="nil"/>
            <w:bottom w:val="nil"/>
            <w:right w:val="nil"/>
          </w:tcBorders>
          <w:hideMark/>
        </w:tcPr>
        <w:p w:rsidR="00AC3464" w:rsidRDefault="00AC3464">
          <w:pPr>
            <w:pStyle w:val="SubHeading"/>
            <w:ind w:left="1453" w:hanging="1453"/>
          </w:pPr>
          <w:r>
            <w:t>Product Name: TYRE SHINE</w:t>
          </w:r>
        </w:p>
      </w:tc>
      <w:tc>
        <w:tcPr>
          <w:tcW w:w="3828" w:type="dxa"/>
          <w:gridSpan w:val="4"/>
          <w:tcBorders>
            <w:top w:val="single" w:sz="12" w:space="0" w:color="auto"/>
            <w:left w:val="nil"/>
            <w:bottom w:val="nil"/>
            <w:right w:val="nil"/>
          </w:tcBorders>
          <w:hideMark/>
        </w:tcPr>
        <w:p w:rsidR="00AC3464" w:rsidRDefault="00DC00C8" w:rsidP="00DC00C8">
          <w:pPr>
            <w:pStyle w:val="SubHeading"/>
            <w:jc w:val="right"/>
          </w:pPr>
          <w:r>
            <w:t>Reference No</w:t>
          </w:r>
          <w:r w:rsidR="00AC3464">
            <w:t xml:space="preserve">:  </w:t>
          </w:r>
          <w:r>
            <w:rPr>
              <w:lang w:val="en-GB"/>
            </w:rPr>
            <w:t>024605</w:t>
          </w:r>
        </w:p>
      </w:tc>
    </w:tr>
    <w:tr w:rsidR="00607481">
      <w:trPr>
        <w:gridAfter w:val="2"/>
        <w:wAfter w:w="419" w:type="dxa"/>
        <w:trHeight w:hRule="exact" w:val="120"/>
      </w:trPr>
      <w:tc>
        <w:tcPr>
          <w:tcW w:w="3807" w:type="dxa"/>
          <w:tcMar>
            <w:top w:w="0" w:type="dxa"/>
            <w:left w:w="108" w:type="dxa"/>
            <w:bottom w:w="0" w:type="dxa"/>
            <w:right w:w="108" w:type="dxa"/>
          </w:tcMar>
        </w:tcPr>
        <w:p w:rsidR="00AC3464" w:rsidRDefault="00AC3464">
          <w:pPr>
            <w:pStyle w:val="Header"/>
            <w:rPr>
              <w:b/>
              <w:lang w:val="de-DE"/>
            </w:rPr>
          </w:pPr>
        </w:p>
      </w:tc>
      <w:tc>
        <w:tcPr>
          <w:tcW w:w="2867" w:type="dxa"/>
          <w:gridSpan w:val="3"/>
          <w:tcMar>
            <w:top w:w="0" w:type="dxa"/>
            <w:left w:w="108" w:type="dxa"/>
            <w:bottom w:w="0" w:type="dxa"/>
            <w:right w:w="108" w:type="dxa"/>
          </w:tcMar>
        </w:tcPr>
        <w:p w:rsidR="00AC3464" w:rsidRDefault="00AC3464">
          <w:pPr>
            <w:pStyle w:val="Header"/>
            <w:rPr>
              <w:b/>
              <w:lang w:val="de-DE"/>
            </w:rPr>
          </w:pPr>
        </w:p>
      </w:tc>
      <w:tc>
        <w:tcPr>
          <w:tcW w:w="3124" w:type="dxa"/>
          <w:gridSpan w:val="2"/>
          <w:tcMar>
            <w:top w:w="0" w:type="dxa"/>
            <w:left w:w="108" w:type="dxa"/>
            <w:bottom w:w="0" w:type="dxa"/>
            <w:right w:w="108" w:type="dxa"/>
          </w:tcMar>
        </w:tcPr>
        <w:p w:rsidR="00AC3464" w:rsidRDefault="00AC3464">
          <w:pPr>
            <w:pStyle w:val="Header"/>
            <w:jc w:val="right"/>
            <w:rPr>
              <w:b/>
              <w:lang w:val="de-DE"/>
            </w:rPr>
          </w:pPr>
        </w:p>
      </w:tc>
    </w:tr>
    <w:tr w:rsidR="00607481">
      <w:tc>
        <w:tcPr>
          <w:tcW w:w="4395" w:type="dxa"/>
          <w:gridSpan w:val="2"/>
          <w:tcMar>
            <w:top w:w="0" w:type="dxa"/>
            <w:left w:w="108" w:type="dxa"/>
            <w:bottom w:w="0" w:type="dxa"/>
            <w:right w:w="108" w:type="dxa"/>
          </w:tcMar>
          <w:hideMark/>
        </w:tcPr>
        <w:p w:rsidR="00AC3464" w:rsidRDefault="00AC3464" w:rsidP="009A1568">
          <w:pPr>
            <w:pStyle w:val="SubHeading"/>
          </w:pPr>
          <w:r>
            <w:t>Issued: 2021-03-01</w:t>
          </w:r>
        </w:p>
      </w:tc>
      <w:tc>
        <w:tcPr>
          <w:tcW w:w="2289" w:type="dxa"/>
          <w:gridSpan w:val="3"/>
          <w:tcMar>
            <w:top w:w="0" w:type="dxa"/>
            <w:left w:w="108" w:type="dxa"/>
            <w:bottom w:w="0" w:type="dxa"/>
            <w:right w:w="108" w:type="dxa"/>
          </w:tcMar>
          <w:hideMark/>
        </w:tcPr>
        <w:p w:rsidR="00AC3464" w:rsidRDefault="00AC3464">
          <w:pPr>
            <w:pStyle w:val="SubHeading"/>
            <w:ind w:left="345"/>
          </w:pPr>
          <w:r>
            <w:t>Version: 1</w:t>
          </w:r>
        </w:p>
      </w:tc>
      <w:tc>
        <w:tcPr>
          <w:tcW w:w="3533" w:type="dxa"/>
          <w:gridSpan w:val="3"/>
          <w:tcMar>
            <w:top w:w="0" w:type="dxa"/>
            <w:left w:w="108" w:type="dxa"/>
            <w:bottom w:w="0" w:type="dxa"/>
            <w:right w:w="108" w:type="dxa"/>
          </w:tcMar>
          <w:hideMark/>
        </w:tcPr>
        <w:p w:rsidR="00AC3464" w:rsidRDefault="0003595D" w:rsidP="0003595D">
          <w:pPr>
            <w:pStyle w:val="SubHeading"/>
            <w:tabs>
              <w:tab w:val="left" w:pos="750"/>
              <w:tab w:val="right" w:pos="3317"/>
            </w:tabs>
          </w:pPr>
          <w:r>
            <w:tab/>
          </w:r>
          <w:r>
            <w:tab/>
          </w:r>
          <w:r w:rsidR="00AC3464">
            <w:t xml:space="preserve"> Page </w:t>
          </w:r>
          <w:r w:rsidR="00AC3464">
            <w:rPr>
              <w:b w:val="0"/>
            </w:rPr>
            <w:fldChar w:fldCharType="begin"/>
          </w:r>
          <w:r w:rsidR="00AC3464">
            <w:instrText xml:space="preserve"> PAGE  \* Arabic  \* MERGEFORMAT </w:instrText>
          </w:r>
          <w:r w:rsidR="00AC3464">
            <w:rPr>
              <w:b w:val="0"/>
            </w:rPr>
            <w:fldChar w:fldCharType="separate"/>
          </w:r>
          <w:r w:rsidR="00D50323">
            <w:rPr>
              <w:noProof/>
            </w:rPr>
            <w:t>1</w:t>
          </w:r>
          <w:r w:rsidR="00AC3464">
            <w:rPr>
              <w:b w:val="0"/>
            </w:rPr>
            <w:fldChar w:fldCharType="end"/>
          </w:r>
          <w:r w:rsidR="00AC3464">
            <w:t xml:space="preserve"> of </w:t>
          </w:r>
          <w:r w:rsidR="00D50323">
            <w:fldChar w:fldCharType="begin"/>
          </w:r>
          <w:r w:rsidR="00D50323">
            <w:instrText xml:space="preserve"> NUMPAGES  \* Arabic  \* MERGEFORMAT </w:instrText>
          </w:r>
          <w:r w:rsidR="00D50323">
            <w:fldChar w:fldCharType="separate"/>
          </w:r>
          <w:r w:rsidR="00D50323">
            <w:rPr>
              <w:noProof/>
            </w:rPr>
            <w:t>3</w:t>
          </w:r>
          <w:r w:rsidR="00D50323">
            <w:rPr>
              <w:noProof/>
            </w:rPr>
            <w:fldChar w:fldCharType="end"/>
          </w:r>
        </w:p>
      </w:tc>
    </w:tr>
  </w:tbl>
  <w:p w:rsidR="00AC3464" w:rsidRDefault="00AC3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4" w:rsidRDefault="00D33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3D" w:rsidRDefault="00165B3D" w:rsidP="00BC1EC3">
      <w:pPr>
        <w:spacing w:after="0" w:line="240" w:lineRule="auto"/>
      </w:pPr>
      <w:r>
        <w:separator/>
      </w:r>
    </w:p>
  </w:footnote>
  <w:footnote w:type="continuationSeparator" w:id="0">
    <w:p w:rsidR="00165B3D" w:rsidRDefault="00165B3D"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4" w:rsidRDefault="00D33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64" w:rsidRDefault="003958BC" w:rsidP="007B760E">
    <w:pPr>
      <w:pStyle w:val="Header"/>
      <w:rPr>
        <w:rFonts w:ascii="Arial" w:eastAsia="Times New Roman" w:hAnsi="Arial" w:cs="Times New Roman"/>
        <w:b/>
        <w:sz w:val="36"/>
        <w:szCs w:val="36"/>
        <w:lang w:val="en-US"/>
      </w:rPr>
    </w:pPr>
    <w:r>
      <w:rPr>
        <w:noProof/>
        <w:lang w:val="en-AU" w:eastAsia="en-AU"/>
      </w:rPr>
      <w:drawing>
        <wp:anchor distT="0" distB="0" distL="114300" distR="114300" simplePos="0" relativeHeight="251658240" behindDoc="1" locked="0" layoutInCell="1" allowOverlap="1">
          <wp:simplePos x="0" y="0"/>
          <wp:positionH relativeFrom="column">
            <wp:posOffset>4283710</wp:posOffset>
          </wp:positionH>
          <wp:positionV relativeFrom="paragraph">
            <wp:posOffset>-78105</wp:posOffset>
          </wp:positionV>
          <wp:extent cx="2276475" cy="435782"/>
          <wp:effectExtent l="0" t="0" r="0" b="2540"/>
          <wp:wrapNone/>
          <wp:docPr id="2" name="Picture 2" descr="L:\Customers\Other\Tasman Chemicals\Logo\tasman_logo_35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ustomers\Other\Tasman Chemicals\Logo\tasman_logo_350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35782"/>
                  </a:xfrm>
                  <a:prstGeom prst="rect">
                    <a:avLst/>
                  </a:prstGeom>
                  <a:noFill/>
                  <a:ln>
                    <a:noFill/>
                  </a:ln>
                </pic:spPr>
              </pic:pic>
            </a:graphicData>
          </a:graphic>
        </wp:anchor>
      </w:drawing>
    </w:r>
    <w:r w:rsidR="00AC3464" w:rsidRPr="00BC1EC3">
      <w:rPr>
        <w:rFonts w:ascii="Arial" w:eastAsia="Times New Roman" w:hAnsi="Arial" w:cs="Times New Roman"/>
        <w:b/>
        <w:sz w:val="36"/>
        <w:szCs w:val="36"/>
        <w:lang w:val="en-US"/>
      </w:rPr>
      <w:t>Safety Data Sheet</w:t>
    </w:r>
  </w:p>
  <w:p w:rsidR="00AC3464" w:rsidRPr="00C62A92" w:rsidRDefault="00AC3464" w:rsidP="00E80A27">
    <w:pPr>
      <w:pStyle w:val="Header"/>
      <w:jc w:val="center"/>
      <w:rPr>
        <w:rFonts w:ascii="Arial" w:eastAsia="Times New Roman" w:hAnsi="Arial" w:cs="Times New Roman"/>
        <w:b/>
        <w:lang w:val="en-US"/>
      </w:rPr>
    </w:pPr>
  </w:p>
  <w:p w:rsidR="00AC3464" w:rsidRPr="00BC1EC3" w:rsidRDefault="00AC3464" w:rsidP="00E80A27">
    <w:pPr>
      <w:pStyle w:val="Header"/>
      <w:jc w:val="center"/>
      <w:rPr>
        <w:rFonts w:ascii="Arial" w:hAnsi="Arial" w:cs="Arial"/>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4" w:rsidRDefault="00D33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595D"/>
    <w:rsid w:val="00036F42"/>
    <w:rsid w:val="00037153"/>
    <w:rsid w:val="00043B1C"/>
    <w:rsid w:val="00044B95"/>
    <w:rsid w:val="00046467"/>
    <w:rsid w:val="00047C23"/>
    <w:rsid w:val="0005497D"/>
    <w:rsid w:val="0005556E"/>
    <w:rsid w:val="000555DF"/>
    <w:rsid w:val="0006405A"/>
    <w:rsid w:val="00072F04"/>
    <w:rsid w:val="00075283"/>
    <w:rsid w:val="00084777"/>
    <w:rsid w:val="00086360"/>
    <w:rsid w:val="00087B27"/>
    <w:rsid w:val="00095194"/>
    <w:rsid w:val="000A2F83"/>
    <w:rsid w:val="000A3C7D"/>
    <w:rsid w:val="000A640B"/>
    <w:rsid w:val="000A692F"/>
    <w:rsid w:val="000A6C30"/>
    <w:rsid w:val="000B5BD2"/>
    <w:rsid w:val="000C0159"/>
    <w:rsid w:val="000C43F1"/>
    <w:rsid w:val="000E0D52"/>
    <w:rsid w:val="000E18DF"/>
    <w:rsid w:val="000E5630"/>
    <w:rsid w:val="000E7038"/>
    <w:rsid w:val="00100274"/>
    <w:rsid w:val="00105562"/>
    <w:rsid w:val="00107A74"/>
    <w:rsid w:val="0011234D"/>
    <w:rsid w:val="0011358A"/>
    <w:rsid w:val="00113819"/>
    <w:rsid w:val="0011381E"/>
    <w:rsid w:val="00122196"/>
    <w:rsid w:val="001303C0"/>
    <w:rsid w:val="0013799D"/>
    <w:rsid w:val="00140D80"/>
    <w:rsid w:val="00142AA7"/>
    <w:rsid w:val="00143B26"/>
    <w:rsid w:val="00147424"/>
    <w:rsid w:val="00155D9B"/>
    <w:rsid w:val="0015722F"/>
    <w:rsid w:val="00162796"/>
    <w:rsid w:val="00162E86"/>
    <w:rsid w:val="00165B3D"/>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74B2"/>
    <w:rsid w:val="001A496A"/>
    <w:rsid w:val="001A6900"/>
    <w:rsid w:val="001B08C3"/>
    <w:rsid w:val="001B4F17"/>
    <w:rsid w:val="001C0E23"/>
    <w:rsid w:val="001C2238"/>
    <w:rsid w:val="001C5BAB"/>
    <w:rsid w:val="001D1930"/>
    <w:rsid w:val="001D4CD0"/>
    <w:rsid w:val="001D5B61"/>
    <w:rsid w:val="001E0E42"/>
    <w:rsid w:val="001E63D5"/>
    <w:rsid w:val="001E7B81"/>
    <w:rsid w:val="001F1391"/>
    <w:rsid w:val="001F1CF7"/>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640"/>
    <w:rsid w:val="002738BF"/>
    <w:rsid w:val="00275C68"/>
    <w:rsid w:val="00277160"/>
    <w:rsid w:val="00281740"/>
    <w:rsid w:val="002828E2"/>
    <w:rsid w:val="002835D7"/>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90A77"/>
    <w:rsid w:val="003958BC"/>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68CD"/>
    <w:rsid w:val="0043184C"/>
    <w:rsid w:val="00431D8A"/>
    <w:rsid w:val="00432DCE"/>
    <w:rsid w:val="00434788"/>
    <w:rsid w:val="00446760"/>
    <w:rsid w:val="004468D7"/>
    <w:rsid w:val="00446ECD"/>
    <w:rsid w:val="0045256A"/>
    <w:rsid w:val="00457CF3"/>
    <w:rsid w:val="00470C44"/>
    <w:rsid w:val="004711FD"/>
    <w:rsid w:val="00471769"/>
    <w:rsid w:val="00475555"/>
    <w:rsid w:val="00491D1B"/>
    <w:rsid w:val="004967C8"/>
    <w:rsid w:val="00497EE2"/>
    <w:rsid w:val="004A2498"/>
    <w:rsid w:val="004B460E"/>
    <w:rsid w:val="004B4F4F"/>
    <w:rsid w:val="004B4F58"/>
    <w:rsid w:val="004C6C34"/>
    <w:rsid w:val="004C71D6"/>
    <w:rsid w:val="004D3BB4"/>
    <w:rsid w:val="004E4D46"/>
    <w:rsid w:val="004F07F3"/>
    <w:rsid w:val="004F0CF5"/>
    <w:rsid w:val="004F5F68"/>
    <w:rsid w:val="00501E8D"/>
    <w:rsid w:val="00505282"/>
    <w:rsid w:val="005114E6"/>
    <w:rsid w:val="0051219E"/>
    <w:rsid w:val="005178D1"/>
    <w:rsid w:val="005178D7"/>
    <w:rsid w:val="00520F5B"/>
    <w:rsid w:val="005225CA"/>
    <w:rsid w:val="0052283F"/>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59B5"/>
    <w:rsid w:val="005B3F4D"/>
    <w:rsid w:val="005B5BB7"/>
    <w:rsid w:val="005B74AA"/>
    <w:rsid w:val="005C20E6"/>
    <w:rsid w:val="005C4EDF"/>
    <w:rsid w:val="005C6DFA"/>
    <w:rsid w:val="005D1B1F"/>
    <w:rsid w:val="005D3AB0"/>
    <w:rsid w:val="005D5A72"/>
    <w:rsid w:val="005E0250"/>
    <w:rsid w:val="005E06A5"/>
    <w:rsid w:val="005E676D"/>
    <w:rsid w:val="005F1997"/>
    <w:rsid w:val="005F3694"/>
    <w:rsid w:val="005F3DFE"/>
    <w:rsid w:val="005F4EB5"/>
    <w:rsid w:val="005F5C53"/>
    <w:rsid w:val="005F7462"/>
    <w:rsid w:val="00601DAE"/>
    <w:rsid w:val="006047EB"/>
    <w:rsid w:val="00607481"/>
    <w:rsid w:val="00625E97"/>
    <w:rsid w:val="0063095B"/>
    <w:rsid w:val="0063488E"/>
    <w:rsid w:val="006351D6"/>
    <w:rsid w:val="006418FC"/>
    <w:rsid w:val="006424B7"/>
    <w:rsid w:val="00643556"/>
    <w:rsid w:val="006471E7"/>
    <w:rsid w:val="00652DDE"/>
    <w:rsid w:val="0065429D"/>
    <w:rsid w:val="00672EE6"/>
    <w:rsid w:val="00676ED2"/>
    <w:rsid w:val="00681715"/>
    <w:rsid w:val="00683431"/>
    <w:rsid w:val="00683581"/>
    <w:rsid w:val="00683B2A"/>
    <w:rsid w:val="00695C2F"/>
    <w:rsid w:val="0069621D"/>
    <w:rsid w:val="006972A7"/>
    <w:rsid w:val="006A1E76"/>
    <w:rsid w:val="006A416B"/>
    <w:rsid w:val="006A5CC4"/>
    <w:rsid w:val="006A5E1A"/>
    <w:rsid w:val="006A6635"/>
    <w:rsid w:val="006A7037"/>
    <w:rsid w:val="006B16B5"/>
    <w:rsid w:val="006C12ED"/>
    <w:rsid w:val="006D7304"/>
    <w:rsid w:val="006D7A75"/>
    <w:rsid w:val="006E1B93"/>
    <w:rsid w:val="006F1F71"/>
    <w:rsid w:val="006F49A6"/>
    <w:rsid w:val="006F677E"/>
    <w:rsid w:val="007016C3"/>
    <w:rsid w:val="00704C2A"/>
    <w:rsid w:val="007106DD"/>
    <w:rsid w:val="0071228D"/>
    <w:rsid w:val="0071610A"/>
    <w:rsid w:val="007179D6"/>
    <w:rsid w:val="0072294D"/>
    <w:rsid w:val="007257C4"/>
    <w:rsid w:val="00744F66"/>
    <w:rsid w:val="00745FE5"/>
    <w:rsid w:val="00746AF8"/>
    <w:rsid w:val="00746BD8"/>
    <w:rsid w:val="007513CD"/>
    <w:rsid w:val="007563C0"/>
    <w:rsid w:val="0075683C"/>
    <w:rsid w:val="00762BD7"/>
    <w:rsid w:val="00763535"/>
    <w:rsid w:val="00764FB1"/>
    <w:rsid w:val="00765F28"/>
    <w:rsid w:val="007670A2"/>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760E"/>
    <w:rsid w:val="007C55A1"/>
    <w:rsid w:val="007D665D"/>
    <w:rsid w:val="007D7A92"/>
    <w:rsid w:val="007E015F"/>
    <w:rsid w:val="007E7C0F"/>
    <w:rsid w:val="007F1A25"/>
    <w:rsid w:val="007F1F4C"/>
    <w:rsid w:val="007F2CEC"/>
    <w:rsid w:val="007F3217"/>
    <w:rsid w:val="007F53B2"/>
    <w:rsid w:val="008028B1"/>
    <w:rsid w:val="008066C6"/>
    <w:rsid w:val="00807D48"/>
    <w:rsid w:val="00811F43"/>
    <w:rsid w:val="00814D34"/>
    <w:rsid w:val="008160C8"/>
    <w:rsid w:val="008176FB"/>
    <w:rsid w:val="00821FBE"/>
    <w:rsid w:val="00822721"/>
    <w:rsid w:val="0082386E"/>
    <w:rsid w:val="00824F56"/>
    <w:rsid w:val="008261D4"/>
    <w:rsid w:val="008301FF"/>
    <w:rsid w:val="0083363A"/>
    <w:rsid w:val="00834D7E"/>
    <w:rsid w:val="00841E25"/>
    <w:rsid w:val="00845DF0"/>
    <w:rsid w:val="00851733"/>
    <w:rsid w:val="00851853"/>
    <w:rsid w:val="00851A5C"/>
    <w:rsid w:val="00852D02"/>
    <w:rsid w:val="00856918"/>
    <w:rsid w:val="008620FF"/>
    <w:rsid w:val="008646B7"/>
    <w:rsid w:val="00865C5F"/>
    <w:rsid w:val="00872512"/>
    <w:rsid w:val="00875349"/>
    <w:rsid w:val="008765DC"/>
    <w:rsid w:val="00877B1A"/>
    <w:rsid w:val="0088083B"/>
    <w:rsid w:val="00880FB9"/>
    <w:rsid w:val="00881898"/>
    <w:rsid w:val="00885BB9"/>
    <w:rsid w:val="00886AC3"/>
    <w:rsid w:val="00890E01"/>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61D5"/>
    <w:rsid w:val="008F6FAE"/>
    <w:rsid w:val="00902414"/>
    <w:rsid w:val="00910367"/>
    <w:rsid w:val="00920472"/>
    <w:rsid w:val="00920599"/>
    <w:rsid w:val="00921E64"/>
    <w:rsid w:val="00922C6D"/>
    <w:rsid w:val="00923803"/>
    <w:rsid w:val="009347F1"/>
    <w:rsid w:val="00944E5A"/>
    <w:rsid w:val="009517B1"/>
    <w:rsid w:val="0095375F"/>
    <w:rsid w:val="0095412C"/>
    <w:rsid w:val="009573AB"/>
    <w:rsid w:val="00973529"/>
    <w:rsid w:val="00976630"/>
    <w:rsid w:val="00977701"/>
    <w:rsid w:val="00980802"/>
    <w:rsid w:val="00982BB4"/>
    <w:rsid w:val="00983E9A"/>
    <w:rsid w:val="00983FA3"/>
    <w:rsid w:val="00985D65"/>
    <w:rsid w:val="0099104C"/>
    <w:rsid w:val="009A1568"/>
    <w:rsid w:val="009A2FD2"/>
    <w:rsid w:val="009A325C"/>
    <w:rsid w:val="009A50E6"/>
    <w:rsid w:val="009B38A4"/>
    <w:rsid w:val="009B3FD6"/>
    <w:rsid w:val="009B6B90"/>
    <w:rsid w:val="009C232E"/>
    <w:rsid w:val="009C2B8F"/>
    <w:rsid w:val="009D1813"/>
    <w:rsid w:val="009E5241"/>
    <w:rsid w:val="009F2053"/>
    <w:rsid w:val="009F2D33"/>
    <w:rsid w:val="00A003BC"/>
    <w:rsid w:val="00A07ACE"/>
    <w:rsid w:val="00A13533"/>
    <w:rsid w:val="00A14495"/>
    <w:rsid w:val="00A32D3A"/>
    <w:rsid w:val="00A33A7B"/>
    <w:rsid w:val="00A359F5"/>
    <w:rsid w:val="00A41273"/>
    <w:rsid w:val="00A413B4"/>
    <w:rsid w:val="00A431B5"/>
    <w:rsid w:val="00A455B3"/>
    <w:rsid w:val="00A57312"/>
    <w:rsid w:val="00A57C50"/>
    <w:rsid w:val="00A6414F"/>
    <w:rsid w:val="00A66FD6"/>
    <w:rsid w:val="00A67A28"/>
    <w:rsid w:val="00A67DE7"/>
    <w:rsid w:val="00A77DCC"/>
    <w:rsid w:val="00A84510"/>
    <w:rsid w:val="00A87187"/>
    <w:rsid w:val="00A903F8"/>
    <w:rsid w:val="00A9344F"/>
    <w:rsid w:val="00A94A90"/>
    <w:rsid w:val="00AA53F2"/>
    <w:rsid w:val="00AB1D6A"/>
    <w:rsid w:val="00AB37B8"/>
    <w:rsid w:val="00AB5AA9"/>
    <w:rsid w:val="00AB75F2"/>
    <w:rsid w:val="00AC3464"/>
    <w:rsid w:val="00AC5A6B"/>
    <w:rsid w:val="00AC6436"/>
    <w:rsid w:val="00AD3799"/>
    <w:rsid w:val="00AD65B0"/>
    <w:rsid w:val="00AD768F"/>
    <w:rsid w:val="00AE0AC5"/>
    <w:rsid w:val="00AE2BC6"/>
    <w:rsid w:val="00AE48D2"/>
    <w:rsid w:val="00AE5E04"/>
    <w:rsid w:val="00AE78CA"/>
    <w:rsid w:val="00AF4990"/>
    <w:rsid w:val="00AF66E4"/>
    <w:rsid w:val="00B01538"/>
    <w:rsid w:val="00B03987"/>
    <w:rsid w:val="00B04E8B"/>
    <w:rsid w:val="00B06937"/>
    <w:rsid w:val="00B25A06"/>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7CD"/>
    <w:rsid w:val="00C67EC4"/>
    <w:rsid w:val="00C74664"/>
    <w:rsid w:val="00C77E4A"/>
    <w:rsid w:val="00C77F7F"/>
    <w:rsid w:val="00C77FB5"/>
    <w:rsid w:val="00C9257E"/>
    <w:rsid w:val="00C92F0D"/>
    <w:rsid w:val="00CA4BE2"/>
    <w:rsid w:val="00CA65F5"/>
    <w:rsid w:val="00CB0600"/>
    <w:rsid w:val="00CD0EDD"/>
    <w:rsid w:val="00CD6E03"/>
    <w:rsid w:val="00CE5A82"/>
    <w:rsid w:val="00CF01EB"/>
    <w:rsid w:val="00CF0B59"/>
    <w:rsid w:val="00CF6FAF"/>
    <w:rsid w:val="00CF7EAE"/>
    <w:rsid w:val="00D02E5F"/>
    <w:rsid w:val="00D0367D"/>
    <w:rsid w:val="00D04930"/>
    <w:rsid w:val="00D06076"/>
    <w:rsid w:val="00D06673"/>
    <w:rsid w:val="00D1117B"/>
    <w:rsid w:val="00D15C99"/>
    <w:rsid w:val="00D20007"/>
    <w:rsid w:val="00D22B2F"/>
    <w:rsid w:val="00D243AC"/>
    <w:rsid w:val="00D25D60"/>
    <w:rsid w:val="00D30C74"/>
    <w:rsid w:val="00D33F24"/>
    <w:rsid w:val="00D34BB0"/>
    <w:rsid w:val="00D35CE2"/>
    <w:rsid w:val="00D363E6"/>
    <w:rsid w:val="00D36F13"/>
    <w:rsid w:val="00D37C6E"/>
    <w:rsid w:val="00D42363"/>
    <w:rsid w:val="00D45B73"/>
    <w:rsid w:val="00D472B6"/>
    <w:rsid w:val="00D47543"/>
    <w:rsid w:val="00D50323"/>
    <w:rsid w:val="00D53B6B"/>
    <w:rsid w:val="00D6371B"/>
    <w:rsid w:val="00D665D3"/>
    <w:rsid w:val="00D676A8"/>
    <w:rsid w:val="00D70186"/>
    <w:rsid w:val="00D70A4A"/>
    <w:rsid w:val="00D7683E"/>
    <w:rsid w:val="00D809A8"/>
    <w:rsid w:val="00D8483C"/>
    <w:rsid w:val="00D85AB3"/>
    <w:rsid w:val="00D869D8"/>
    <w:rsid w:val="00D91DD6"/>
    <w:rsid w:val="00D95343"/>
    <w:rsid w:val="00DA0BCB"/>
    <w:rsid w:val="00DA3860"/>
    <w:rsid w:val="00DA4BF4"/>
    <w:rsid w:val="00DB4472"/>
    <w:rsid w:val="00DC00C8"/>
    <w:rsid w:val="00DC271F"/>
    <w:rsid w:val="00DD11FF"/>
    <w:rsid w:val="00DD16DF"/>
    <w:rsid w:val="00DD16EF"/>
    <w:rsid w:val="00DD58F9"/>
    <w:rsid w:val="00DE1A8E"/>
    <w:rsid w:val="00DE2577"/>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5AC0"/>
    <w:rsid w:val="00E76EB7"/>
    <w:rsid w:val="00E77CD5"/>
    <w:rsid w:val="00E80A27"/>
    <w:rsid w:val="00E839EC"/>
    <w:rsid w:val="00E83C46"/>
    <w:rsid w:val="00E964C2"/>
    <w:rsid w:val="00EA286F"/>
    <w:rsid w:val="00EA3EEE"/>
    <w:rsid w:val="00EA5A18"/>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7DD7"/>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8'])"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0E8C57FB-5932-4AB7-8B56-C11EA857C3C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8</cp:revision>
  <dcterms:created xsi:type="dcterms:W3CDTF">2015-11-29T01:23:00Z</dcterms:created>
  <dcterms:modified xsi:type="dcterms:W3CDTF">2021-03-01T05:16:00Z</dcterms:modified>
</cp:coreProperties>
</file>