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JOHN DUFF &amp; CO METHYLATED SPIRITS</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F2016B" w:rsidTr="00F2016B">
        <w:tc>
          <w:tcPr>
            <w:tcW w:w="7313" w:type="dxa"/>
          </w:tcPr>
          <w:p w:rsidR="00F2016B" w:rsidRPr="005114E6" w:rsidRDefault="00F2016B"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F2016B" w:rsidRPr="005114E6" w:rsidRDefault="00F2016B" w:rsidP="00AC3464">
            <w:pPr>
              <w:pStyle w:val="NewNormal"/>
              <w:rPr>
                <w:rFonts w:cs="Arial"/>
                <w:b/>
                <w:lang w:val="en-AU"/>
              </w:rPr>
            </w:pPr>
            <w:r>
              <w:rPr>
                <w:rFonts w:cs="Arial"/>
                <w:b/>
                <w:lang w:val="en-AU"/>
              </w:rPr>
              <w:t>Product Code</w:t>
            </w:r>
          </w:p>
        </w:tc>
      </w:tr>
      <w:tr w:rsidR="00F2016B" w:rsidTr="00F2016B">
        <w:tc>
          <w:tcPr>
            <w:tcW w:w="7313" w:type="dxa"/>
          </w:tcPr>
          <w:p w:rsidR="00F2016B" w:rsidRPr="005114E6" w:rsidRDefault="00F2016B" w:rsidP="00AC3464">
            <w:pPr>
              <w:pStyle w:val="NewNormal"/>
              <w:rPr>
                <w:rFonts w:cs="Arial"/>
                <w:lang w:val="en-AU"/>
              </w:rPr>
            </w:pPr>
            <w:r>
              <w:rPr>
                <w:rFonts w:cs="Arial"/>
                <w:lang w:val="en-GB"/>
              </w:rPr>
              <w:t>JOHN DUFF &amp; CO METHYLATED SPIRITS, 200 Litres</w:t>
            </w:r>
          </w:p>
        </w:tc>
        <w:tc>
          <w:tcPr>
            <w:tcW w:w="2750" w:type="dxa"/>
          </w:tcPr>
          <w:p w:rsidR="00F2016B" w:rsidRDefault="00F2016B" w:rsidP="00AC3464">
            <w:pPr>
              <w:pStyle w:val="NewNormal"/>
              <w:rPr>
                <w:rFonts w:cs="Arial"/>
                <w:lang w:val="en-AU"/>
              </w:rPr>
            </w:pPr>
            <w:r>
              <w:rPr>
                <w:rFonts w:cs="Arial"/>
                <w:lang w:val="en-AU"/>
              </w:rPr>
              <w:t>JDSOLMS200L</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Industrial solvent.</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E82BF4">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EE07A5" w:rsidP="00825489">
            <w:pPr>
              <w:pStyle w:val="NewNormal"/>
              <w:widowControl/>
            </w:pPr>
            <w:bookmarkStart w:id="3" w:name="SUPPLIER"/>
            <w:r>
              <w:t>Peak Lubricants Pty Ltd</w:t>
            </w:r>
            <w:bookmarkEnd w:id="3"/>
          </w:p>
        </w:tc>
      </w:tr>
      <w:tr w:rsidR="00E82BF4">
        <w:tc>
          <w:tcPr>
            <w:tcW w:w="1809" w:type="dxa"/>
          </w:tcPr>
          <w:p w:rsidR="00CC4A5C" w:rsidRPr="001716A4" w:rsidRDefault="00CC4A5C" w:rsidP="00831CBA">
            <w:pPr>
              <w:pStyle w:val="SubHeading"/>
              <w:keepNext w:val="0"/>
              <w:widowControl/>
            </w:pPr>
            <w:r w:rsidRPr="001716A4">
              <w:t>ABN:</w:t>
            </w:r>
          </w:p>
        </w:tc>
        <w:tc>
          <w:tcPr>
            <w:tcW w:w="6838" w:type="dxa"/>
          </w:tcPr>
          <w:p w:rsidR="00E82BF4" w:rsidRDefault="00F2016B">
            <w:pPr>
              <w:pStyle w:val="NewNormal"/>
              <w:widowControl/>
            </w:pPr>
            <w:r>
              <w:t>74887410101</w:t>
            </w:r>
          </w:p>
        </w:tc>
      </w:tr>
      <w:tr w:rsidR="00E82BF4">
        <w:tc>
          <w:tcPr>
            <w:tcW w:w="1809" w:type="dxa"/>
          </w:tcPr>
          <w:p w:rsidR="00CC4A5C" w:rsidRPr="001716A4" w:rsidRDefault="00CC4A5C" w:rsidP="00831CBA">
            <w:pPr>
              <w:pStyle w:val="SubHeading"/>
              <w:keepNext w:val="0"/>
              <w:widowControl/>
            </w:pPr>
            <w:r w:rsidRPr="001716A4">
              <w:t>Street Address:</w:t>
            </w:r>
          </w:p>
        </w:tc>
        <w:tc>
          <w:tcPr>
            <w:tcW w:w="6838" w:type="dxa"/>
          </w:tcPr>
          <w:p w:rsidR="00E82BF4" w:rsidRDefault="00F2016B">
            <w:pPr>
              <w:pStyle w:val="NewNormal"/>
              <w:widowControl/>
            </w:pPr>
            <w:r>
              <w:t>224-230 South Gippsland Hwy</w:t>
            </w:r>
            <w:r>
              <w:br/>
              <w:t>Dandenong</w:t>
            </w:r>
            <w:r>
              <w:br/>
              <w:t>Victoria 3175</w:t>
            </w:r>
          </w:p>
        </w:tc>
      </w:tr>
      <w:tr w:rsidR="00E82BF4">
        <w:tc>
          <w:tcPr>
            <w:tcW w:w="1809" w:type="dxa"/>
          </w:tcPr>
          <w:p w:rsidR="00B15E51" w:rsidRPr="00C15D8C" w:rsidRDefault="00B15E51" w:rsidP="00831CBA">
            <w:pPr>
              <w:pStyle w:val="NewNormal"/>
              <w:widowControl/>
              <w:rPr>
                <w:b/>
              </w:rPr>
            </w:pPr>
            <w:r w:rsidRPr="00C15D8C">
              <w:rPr>
                <w:b/>
              </w:rPr>
              <w:t>Telephone:</w:t>
            </w:r>
          </w:p>
        </w:tc>
        <w:tc>
          <w:tcPr>
            <w:tcW w:w="6838" w:type="dxa"/>
          </w:tcPr>
          <w:p w:rsidR="00E82BF4" w:rsidRDefault="00F2016B">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E82BF4">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E82BF4" w:rsidRDefault="00F2016B">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82BF4">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E82BF4" w:rsidRDefault="00F2016B">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w:t>
      </w:r>
    </w:p>
    <w:p w:rsidR="00E82BF4" w:rsidRDefault="00F2016B">
      <w:pPr>
        <w:pStyle w:val="NewNormal"/>
        <w:rPr>
          <w:rFonts w:cs="Arial"/>
          <w:lang w:val="en-AU"/>
        </w:rPr>
      </w:pPr>
      <w:r>
        <w:rPr>
          <w:rFonts w:cs="Arial"/>
          <w:lang w:val="en-AU"/>
        </w:rPr>
        <w:t>Flammable Liquids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2BF4">
        <w:tc>
          <w:tcPr>
            <w:tcW w:w="1526" w:type="dxa"/>
          </w:tcPr>
          <w:p w:rsidR="007D7A92" w:rsidRPr="002F5099" w:rsidRDefault="00EE07A5" w:rsidP="00831CBA">
            <w:pPr>
              <w:pStyle w:val="NewNormal"/>
              <w:rPr>
                <w:rFonts w:cs="Arial"/>
                <w:lang w:val="en-AU"/>
              </w:rPr>
            </w:pPr>
            <w:r>
              <w:rPr>
                <w:rFonts w:cs="Arial"/>
                <w:lang w:val="en-AU"/>
              </w:rPr>
              <w:t>H225</w:t>
            </w:r>
          </w:p>
        </w:tc>
        <w:tc>
          <w:tcPr>
            <w:tcW w:w="7716" w:type="dxa"/>
          </w:tcPr>
          <w:p w:rsidR="007D7A92" w:rsidRPr="002F5099" w:rsidRDefault="00EE07A5" w:rsidP="00831CBA">
            <w:pPr>
              <w:pStyle w:val="NewNormal"/>
              <w:rPr>
                <w:rFonts w:cs="Arial"/>
                <w:lang w:val="en-AU"/>
              </w:rPr>
            </w:pPr>
            <w:r>
              <w:rPr>
                <w:rFonts w:cs="Arial"/>
                <w:lang w:val="en-AU"/>
              </w:rPr>
              <w:t>Highly flammable liquid and vapour.</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2BF4">
        <w:tc>
          <w:tcPr>
            <w:tcW w:w="1526" w:type="dxa"/>
          </w:tcPr>
          <w:p w:rsidR="007D7A92" w:rsidRPr="00193A68" w:rsidRDefault="00EE07A5" w:rsidP="00831CBA">
            <w:pPr>
              <w:pStyle w:val="NewNormal"/>
              <w:rPr>
                <w:rFonts w:cs="Arial"/>
                <w:lang w:val="en-AU"/>
              </w:rPr>
            </w:pPr>
            <w:r>
              <w:rPr>
                <w:rFonts w:cs="Arial"/>
                <w:lang w:val="en-AU"/>
              </w:rPr>
              <w:t>P102</w:t>
            </w:r>
          </w:p>
        </w:tc>
        <w:tc>
          <w:tcPr>
            <w:tcW w:w="7716" w:type="dxa"/>
          </w:tcPr>
          <w:p w:rsidR="007D7A92" w:rsidRPr="00193A68" w:rsidRDefault="00EE07A5" w:rsidP="00831CBA">
            <w:pPr>
              <w:pStyle w:val="NewNormal"/>
              <w:rPr>
                <w:rFonts w:cs="Arial"/>
                <w:lang w:val="en-AU"/>
              </w:rPr>
            </w:pPr>
            <w:r>
              <w:rPr>
                <w:rFonts w:cs="Arial"/>
                <w:lang w:val="en-AU"/>
              </w:rPr>
              <w:t>Keep out of reach of children.</w:t>
            </w:r>
          </w:p>
        </w:tc>
      </w:tr>
      <w:tr w:rsidR="00E82BF4">
        <w:tc>
          <w:tcPr>
            <w:tcW w:w="1526" w:type="dxa"/>
          </w:tcPr>
          <w:p w:rsidR="007D7A92" w:rsidRPr="00193A68" w:rsidRDefault="00EE07A5" w:rsidP="00831CBA">
            <w:pPr>
              <w:pStyle w:val="NewNormal"/>
              <w:rPr>
                <w:rFonts w:cs="Arial"/>
                <w:lang w:val="en-AU"/>
              </w:rPr>
            </w:pPr>
            <w:r>
              <w:rPr>
                <w:rFonts w:cs="Arial"/>
                <w:lang w:val="en-AU"/>
              </w:rPr>
              <w:t>P103</w:t>
            </w:r>
          </w:p>
        </w:tc>
        <w:tc>
          <w:tcPr>
            <w:tcW w:w="7716" w:type="dxa"/>
          </w:tcPr>
          <w:p w:rsidR="007D7A92" w:rsidRPr="00193A68" w:rsidRDefault="00EE07A5" w:rsidP="00831CBA">
            <w:pPr>
              <w:pStyle w:val="NewNormal"/>
              <w:rPr>
                <w:rFonts w:cs="Arial"/>
                <w:lang w:val="en-AU"/>
              </w:rPr>
            </w:pPr>
            <w:r>
              <w:rPr>
                <w:rFonts w:cs="Arial"/>
                <w:lang w:val="en-AU"/>
              </w:rPr>
              <w:t>Read label before use.</w:t>
            </w:r>
          </w:p>
        </w:tc>
      </w:tr>
      <w:tr w:rsidR="00E82BF4">
        <w:tc>
          <w:tcPr>
            <w:tcW w:w="1526" w:type="dxa"/>
          </w:tcPr>
          <w:p w:rsidR="007D7A92" w:rsidRPr="00193A68" w:rsidRDefault="00EE07A5" w:rsidP="00831CBA">
            <w:pPr>
              <w:pStyle w:val="NewNormal"/>
              <w:rPr>
                <w:rFonts w:cs="Arial"/>
                <w:lang w:val="en-AU"/>
              </w:rPr>
            </w:pPr>
            <w:r>
              <w:rPr>
                <w:rFonts w:cs="Arial"/>
                <w:lang w:val="en-AU"/>
              </w:rPr>
              <w:t>P210</w:t>
            </w:r>
          </w:p>
        </w:tc>
        <w:tc>
          <w:tcPr>
            <w:tcW w:w="7716" w:type="dxa"/>
          </w:tcPr>
          <w:p w:rsidR="007D7A92" w:rsidRPr="00193A68" w:rsidRDefault="00EE07A5" w:rsidP="00831CBA">
            <w:pPr>
              <w:pStyle w:val="NewNormal"/>
              <w:rPr>
                <w:rFonts w:cs="Arial"/>
                <w:lang w:val="en-AU"/>
              </w:rPr>
            </w:pPr>
            <w:r>
              <w:rPr>
                <w:rFonts w:cs="Arial"/>
                <w:lang w:val="en-AU"/>
              </w:rPr>
              <w:t>Keep away from heat/sparks/open flames/hot surfaces. No smoking.</w:t>
            </w:r>
          </w:p>
        </w:tc>
      </w:tr>
      <w:tr w:rsidR="00E82BF4">
        <w:tc>
          <w:tcPr>
            <w:tcW w:w="1526" w:type="dxa"/>
          </w:tcPr>
          <w:p w:rsidR="007D7A92" w:rsidRPr="00193A68" w:rsidRDefault="00EE07A5" w:rsidP="00831CBA">
            <w:pPr>
              <w:pStyle w:val="NewNormal"/>
              <w:rPr>
                <w:rFonts w:cs="Arial"/>
                <w:lang w:val="en-AU"/>
              </w:rPr>
            </w:pPr>
            <w:r>
              <w:rPr>
                <w:rFonts w:cs="Arial"/>
                <w:lang w:val="en-AU"/>
              </w:rPr>
              <w:t>P233</w:t>
            </w:r>
          </w:p>
        </w:tc>
        <w:tc>
          <w:tcPr>
            <w:tcW w:w="7716" w:type="dxa"/>
          </w:tcPr>
          <w:p w:rsidR="007D7A92" w:rsidRPr="00193A68" w:rsidRDefault="00EE07A5" w:rsidP="00831CBA">
            <w:pPr>
              <w:pStyle w:val="NewNormal"/>
              <w:rPr>
                <w:rFonts w:cs="Arial"/>
                <w:lang w:val="en-AU"/>
              </w:rPr>
            </w:pPr>
            <w:r>
              <w:rPr>
                <w:rFonts w:cs="Arial"/>
                <w:lang w:val="en-AU"/>
              </w:rPr>
              <w:t>Keep container tightly closed.</w:t>
            </w:r>
          </w:p>
        </w:tc>
      </w:tr>
      <w:tr w:rsidR="00E82BF4">
        <w:tc>
          <w:tcPr>
            <w:tcW w:w="1526" w:type="dxa"/>
          </w:tcPr>
          <w:p w:rsidR="007D7A92" w:rsidRPr="00193A68" w:rsidRDefault="00EE07A5" w:rsidP="00831CBA">
            <w:pPr>
              <w:pStyle w:val="NewNormal"/>
              <w:rPr>
                <w:rFonts w:cs="Arial"/>
                <w:lang w:val="en-AU"/>
              </w:rPr>
            </w:pPr>
            <w:r>
              <w:rPr>
                <w:rFonts w:cs="Arial"/>
                <w:lang w:val="en-AU"/>
              </w:rPr>
              <w:t>P240</w:t>
            </w:r>
          </w:p>
        </w:tc>
        <w:tc>
          <w:tcPr>
            <w:tcW w:w="7716" w:type="dxa"/>
          </w:tcPr>
          <w:p w:rsidR="007D7A92" w:rsidRPr="00193A68" w:rsidRDefault="00EE07A5" w:rsidP="00831CBA">
            <w:pPr>
              <w:pStyle w:val="NewNormal"/>
              <w:rPr>
                <w:rFonts w:cs="Arial"/>
                <w:lang w:val="en-AU"/>
              </w:rPr>
            </w:pPr>
            <w:r>
              <w:rPr>
                <w:rFonts w:cs="Arial"/>
                <w:lang w:val="en-AU"/>
              </w:rPr>
              <w:t>Ground/bond container and receiving equipment.</w:t>
            </w:r>
          </w:p>
        </w:tc>
      </w:tr>
      <w:tr w:rsidR="00E82BF4">
        <w:tc>
          <w:tcPr>
            <w:tcW w:w="1526" w:type="dxa"/>
          </w:tcPr>
          <w:p w:rsidR="007D7A92" w:rsidRPr="00193A68" w:rsidRDefault="00EE07A5" w:rsidP="00831CBA">
            <w:pPr>
              <w:pStyle w:val="NewNormal"/>
              <w:rPr>
                <w:rFonts w:cs="Arial"/>
                <w:lang w:val="en-AU"/>
              </w:rPr>
            </w:pPr>
            <w:r>
              <w:rPr>
                <w:rFonts w:cs="Arial"/>
                <w:lang w:val="en-AU"/>
              </w:rPr>
              <w:t>P241</w:t>
            </w:r>
          </w:p>
        </w:tc>
        <w:tc>
          <w:tcPr>
            <w:tcW w:w="7716" w:type="dxa"/>
          </w:tcPr>
          <w:p w:rsidR="007D7A92" w:rsidRPr="00193A68" w:rsidRDefault="00EE07A5" w:rsidP="00831CBA">
            <w:pPr>
              <w:pStyle w:val="NewNormal"/>
              <w:rPr>
                <w:rFonts w:cs="Arial"/>
                <w:lang w:val="en-AU"/>
              </w:rPr>
            </w:pPr>
            <w:r>
              <w:rPr>
                <w:rFonts w:cs="Arial"/>
                <w:lang w:val="en-AU"/>
              </w:rPr>
              <w:t>Use explosion-proof electrical, ventilating, lighting and all other equipment.</w:t>
            </w:r>
          </w:p>
        </w:tc>
      </w:tr>
      <w:tr w:rsidR="00E82BF4">
        <w:tc>
          <w:tcPr>
            <w:tcW w:w="1526" w:type="dxa"/>
          </w:tcPr>
          <w:p w:rsidR="007D7A92" w:rsidRPr="00193A68" w:rsidRDefault="00EE07A5" w:rsidP="00831CBA">
            <w:pPr>
              <w:pStyle w:val="NewNormal"/>
              <w:rPr>
                <w:rFonts w:cs="Arial"/>
                <w:lang w:val="en-AU"/>
              </w:rPr>
            </w:pPr>
            <w:r>
              <w:rPr>
                <w:rFonts w:cs="Arial"/>
                <w:lang w:val="en-AU"/>
              </w:rPr>
              <w:t>P242</w:t>
            </w:r>
          </w:p>
        </w:tc>
        <w:tc>
          <w:tcPr>
            <w:tcW w:w="7716" w:type="dxa"/>
          </w:tcPr>
          <w:p w:rsidR="007D7A92" w:rsidRPr="00193A68" w:rsidRDefault="00EE07A5" w:rsidP="00831CBA">
            <w:pPr>
              <w:pStyle w:val="NewNormal"/>
              <w:rPr>
                <w:rFonts w:cs="Arial"/>
                <w:lang w:val="en-AU"/>
              </w:rPr>
            </w:pPr>
            <w:r>
              <w:rPr>
                <w:rFonts w:cs="Arial"/>
                <w:lang w:val="en-AU"/>
              </w:rPr>
              <w:t>Use only non-sparking tools.</w:t>
            </w:r>
          </w:p>
        </w:tc>
      </w:tr>
      <w:tr w:rsidR="00E82BF4">
        <w:tc>
          <w:tcPr>
            <w:tcW w:w="1526" w:type="dxa"/>
          </w:tcPr>
          <w:p w:rsidR="007D7A92" w:rsidRPr="00193A68" w:rsidRDefault="00EE07A5" w:rsidP="00831CBA">
            <w:pPr>
              <w:pStyle w:val="NewNormal"/>
              <w:rPr>
                <w:rFonts w:cs="Arial"/>
                <w:lang w:val="en-AU"/>
              </w:rPr>
            </w:pPr>
            <w:r>
              <w:rPr>
                <w:rFonts w:cs="Arial"/>
                <w:lang w:val="en-AU"/>
              </w:rPr>
              <w:t>P243</w:t>
            </w:r>
          </w:p>
        </w:tc>
        <w:tc>
          <w:tcPr>
            <w:tcW w:w="7716" w:type="dxa"/>
          </w:tcPr>
          <w:p w:rsidR="007D7A92" w:rsidRPr="00193A68" w:rsidRDefault="00EE07A5" w:rsidP="00831CBA">
            <w:pPr>
              <w:pStyle w:val="NewNormal"/>
              <w:rPr>
                <w:rFonts w:cs="Arial"/>
                <w:lang w:val="en-AU"/>
              </w:rPr>
            </w:pPr>
            <w:r>
              <w:rPr>
                <w:rFonts w:cs="Arial"/>
                <w:lang w:val="en-AU"/>
              </w:rPr>
              <w:t>Take precautionary measures against static discharge.</w:t>
            </w:r>
          </w:p>
        </w:tc>
      </w:tr>
      <w:tr w:rsidR="00E82BF4">
        <w:tc>
          <w:tcPr>
            <w:tcW w:w="1526" w:type="dxa"/>
          </w:tcPr>
          <w:p w:rsidR="007D7A92" w:rsidRPr="00193A68" w:rsidRDefault="00EE07A5" w:rsidP="00831CBA">
            <w:pPr>
              <w:pStyle w:val="NewNormal"/>
              <w:rPr>
                <w:rFonts w:cs="Arial"/>
                <w:lang w:val="en-AU"/>
              </w:rPr>
            </w:pPr>
            <w:r>
              <w:rPr>
                <w:rFonts w:cs="Arial"/>
                <w:lang w:val="en-AU"/>
              </w:rPr>
              <w:t>P280</w:t>
            </w:r>
          </w:p>
        </w:tc>
        <w:tc>
          <w:tcPr>
            <w:tcW w:w="7716" w:type="dxa"/>
          </w:tcPr>
          <w:p w:rsidR="007D7A92" w:rsidRPr="00193A68" w:rsidRDefault="00EE07A5" w:rsidP="00831CBA">
            <w:pPr>
              <w:pStyle w:val="NewNormal"/>
              <w:rPr>
                <w:rFonts w:cs="Arial"/>
                <w:lang w:val="en-AU"/>
              </w:rPr>
            </w:pPr>
            <w:r>
              <w:rPr>
                <w:rFonts w:cs="Arial"/>
                <w:lang w:val="en-AU"/>
              </w:rPr>
              <w:t>Wear protective clothing, gloves, eye/face protection and suitable respirator.</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E82BF4">
        <w:tc>
          <w:tcPr>
            <w:tcW w:w="1526" w:type="dxa"/>
          </w:tcPr>
          <w:p w:rsidR="007D7A92" w:rsidRPr="00475555" w:rsidRDefault="00EE07A5" w:rsidP="00831CBA">
            <w:pPr>
              <w:pStyle w:val="NewNormal"/>
              <w:rPr>
                <w:rFonts w:cs="Arial"/>
                <w:lang w:val="en-AU"/>
              </w:rPr>
            </w:pPr>
            <w:r>
              <w:rPr>
                <w:rFonts w:cs="Arial"/>
                <w:lang w:val="en-AU"/>
              </w:rPr>
              <w:t>P101</w:t>
            </w:r>
          </w:p>
        </w:tc>
        <w:tc>
          <w:tcPr>
            <w:tcW w:w="7716" w:type="dxa"/>
          </w:tcPr>
          <w:p w:rsidR="007D7A92" w:rsidRPr="00475555" w:rsidRDefault="00EE07A5" w:rsidP="00831CBA">
            <w:pPr>
              <w:pStyle w:val="NewNormal"/>
              <w:rPr>
                <w:rFonts w:cs="Arial"/>
                <w:lang w:val="en-AU"/>
              </w:rPr>
            </w:pPr>
            <w:r>
              <w:rPr>
                <w:rFonts w:cs="Arial"/>
                <w:lang w:val="en-AU"/>
              </w:rPr>
              <w:t>If medical advice is needed, have product container or label at hand.</w:t>
            </w:r>
          </w:p>
        </w:tc>
      </w:tr>
      <w:tr w:rsidR="00E82BF4">
        <w:tc>
          <w:tcPr>
            <w:tcW w:w="1526" w:type="dxa"/>
          </w:tcPr>
          <w:p w:rsidR="007D7A92" w:rsidRPr="00475555" w:rsidRDefault="00EE07A5" w:rsidP="00831CBA">
            <w:pPr>
              <w:pStyle w:val="NewNormal"/>
              <w:rPr>
                <w:rFonts w:cs="Arial"/>
                <w:lang w:val="en-AU"/>
              </w:rPr>
            </w:pPr>
            <w:r>
              <w:rPr>
                <w:rFonts w:cs="Arial"/>
                <w:lang w:val="en-AU"/>
              </w:rPr>
              <w:t>P303+P361+P353</w:t>
            </w:r>
          </w:p>
        </w:tc>
        <w:tc>
          <w:tcPr>
            <w:tcW w:w="7716" w:type="dxa"/>
          </w:tcPr>
          <w:p w:rsidR="007D7A92" w:rsidRPr="00475555" w:rsidRDefault="00EE07A5" w:rsidP="00831CBA">
            <w:pPr>
              <w:pStyle w:val="NewNormal"/>
              <w:rPr>
                <w:rFonts w:cs="Arial"/>
                <w:lang w:val="en-AU"/>
              </w:rPr>
            </w:pPr>
            <w:r>
              <w:rPr>
                <w:rFonts w:cs="Arial"/>
                <w:lang w:val="en-AU"/>
              </w:rPr>
              <w:t>IF ON SKIN (or hair): Remove/Take off immediately all contaminated clothing. Rinse skin with water/shower.</w:t>
            </w:r>
          </w:p>
        </w:tc>
      </w:tr>
      <w:tr w:rsidR="00E82BF4">
        <w:tc>
          <w:tcPr>
            <w:tcW w:w="1526" w:type="dxa"/>
          </w:tcPr>
          <w:p w:rsidR="007D7A92" w:rsidRPr="00475555" w:rsidRDefault="00EE07A5" w:rsidP="00831CBA">
            <w:pPr>
              <w:pStyle w:val="NewNormal"/>
              <w:rPr>
                <w:rFonts w:cs="Arial"/>
                <w:lang w:val="en-AU"/>
              </w:rPr>
            </w:pPr>
            <w:r>
              <w:rPr>
                <w:rFonts w:cs="Arial"/>
                <w:lang w:val="en-AU"/>
              </w:rPr>
              <w:t>P370+P378</w:t>
            </w:r>
          </w:p>
        </w:tc>
        <w:tc>
          <w:tcPr>
            <w:tcW w:w="7716" w:type="dxa"/>
          </w:tcPr>
          <w:p w:rsidR="007D7A92" w:rsidRPr="00475555" w:rsidRDefault="00EE07A5" w:rsidP="00831CBA">
            <w:pPr>
              <w:pStyle w:val="NewNormal"/>
              <w:rPr>
                <w:rFonts w:cs="Arial"/>
                <w:lang w:val="en-AU"/>
              </w:rPr>
            </w:pPr>
            <w:r>
              <w:rPr>
                <w:rFonts w:cs="Arial"/>
                <w:lang w:val="en-AU"/>
              </w:rPr>
              <w:t>In case of fire: Use (insert appropriate media) for extinction.</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2BF4">
        <w:tc>
          <w:tcPr>
            <w:tcW w:w="1526" w:type="dxa"/>
          </w:tcPr>
          <w:p w:rsidR="007D7A92" w:rsidRPr="00475555" w:rsidRDefault="00EE07A5" w:rsidP="00831CBA">
            <w:pPr>
              <w:pStyle w:val="NewNormal"/>
              <w:rPr>
                <w:rFonts w:cs="Arial"/>
                <w:lang w:val="en-AU"/>
              </w:rPr>
            </w:pPr>
            <w:r>
              <w:rPr>
                <w:rFonts w:cs="Arial"/>
                <w:lang w:val="en-AU"/>
              </w:rPr>
              <w:lastRenderedPageBreak/>
              <w:t>P403+P235</w:t>
            </w:r>
          </w:p>
        </w:tc>
        <w:tc>
          <w:tcPr>
            <w:tcW w:w="7716" w:type="dxa"/>
          </w:tcPr>
          <w:p w:rsidR="007D7A92" w:rsidRPr="00475555" w:rsidRDefault="00EE07A5" w:rsidP="00831CBA">
            <w:pPr>
              <w:pStyle w:val="NewNormal"/>
              <w:rPr>
                <w:rFonts w:cs="Arial"/>
                <w:lang w:val="en-AU"/>
              </w:rPr>
            </w:pPr>
            <w:r>
              <w:rPr>
                <w:rFonts w:cs="Arial"/>
                <w:lang w:val="en-AU"/>
              </w:rPr>
              <w:t>Store in a well-ventilated place. Keep cool.</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E82BF4">
        <w:tc>
          <w:tcPr>
            <w:tcW w:w="1526" w:type="dxa"/>
          </w:tcPr>
          <w:p w:rsidR="007D7A92" w:rsidRPr="00475555" w:rsidRDefault="00EE07A5" w:rsidP="00831CBA">
            <w:pPr>
              <w:pStyle w:val="NewNormal"/>
              <w:rPr>
                <w:rFonts w:cs="Arial"/>
                <w:lang w:val="en-AU"/>
              </w:rPr>
            </w:pPr>
            <w:r>
              <w:rPr>
                <w:rFonts w:cs="Arial"/>
                <w:lang w:val="en-AU"/>
              </w:rPr>
              <w:t>P501</w:t>
            </w:r>
          </w:p>
        </w:tc>
        <w:tc>
          <w:tcPr>
            <w:tcW w:w="7716" w:type="dxa"/>
          </w:tcPr>
          <w:p w:rsidR="007D7A92" w:rsidRPr="00475555" w:rsidRDefault="00EE07A5"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E82BF4">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E82BF4">
        <w:tc>
          <w:tcPr>
            <w:tcW w:w="6946" w:type="dxa"/>
          </w:tcPr>
          <w:p w:rsidR="000A640B" w:rsidRDefault="00EE07A5" w:rsidP="007776FB">
            <w:pPr>
              <w:pStyle w:val="NewNormal"/>
              <w:rPr>
                <w:rFonts w:cs="Arial"/>
                <w:lang w:val="en-AU"/>
              </w:rPr>
            </w:pPr>
            <w:r>
              <w:rPr>
                <w:rFonts w:cs="Arial"/>
                <w:lang w:val="en-AU"/>
              </w:rPr>
              <w:t>Ethanol</w:t>
            </w:r>
          </w:p>
        </w:tc>
        <w:tc>
          <w:tcPr>
            <w:tcW w:w="1560" w:type="dxa"/>
          </w:tcPr>
          <w:p w:rsidR="00E82BF4" w:rsidRDefault="00F2016B">
            <w:pPr>
              <w:pStyle w:val="NewNormal"/>
              <w:rPr>
                <w:rFonts w:cs="Arial"/>
                <w:lang w:val="en-AU"/>
              </w:rPr>
            </w:pPr>
            <w:r>
              <w:rPr>
                <w:rFonts w:cs="Arial"/>
                <w:lang w:val="en-AU"/>
              </w:rPr>
              <w:t>64-17-5</w:t>
            </w:r>
          </w:p>
        </w:tc>
        <w:tc>
          <w:tcPr>
            <w:tcW w:w="1842" w:type="dxa"/>
          </w:tcPr>
          <w:p w:rsidR="000A640B" w:rsidRDefault="00EE07A5"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 (w/w)</w:t>
            </w:r>
          </w:p>
        </w:tc>
      </w:tr>
      <w:tr w:rsidR="00E82BF4">
        <w:tc>
          <w:tcPr>
            <w:tcW w:w="6946" w:type="dxa"/>
          </w:tcPr>
          <w:p w:rsidR="000A640B" w:rsidRDefault="00EE07A5" w:rsidP="007776FB">
            <w:pPr>
              <w:pStyle w:val="NewNormal"/>
              <w:rPr>
                <w:rFonts w:cs="Arial"/>
                <w:lang w:val="en-AU"/>
              </w:rPr>
            </w:pPr>
            <w:r>
              <w:rPr>
                <w:rFonts w:cs="Arial"/>
                <w:lang w:val="en-AU"/>
              </w:rPr>
              <w:t>Ingredients determined to be Non-Hazardous</w:t>
            </w:r>
          </w:p>
        </w:tc>
        <w:tc>
          <w:tcPr>
            <w:tcW w:w="1560" w:type="dxa"/>
          </w:tcPr>
          <w:p w:rsidR="00E82BF4" w:rsidRDefault="00E82BF4">
            <w:pPr>
              <w:pStyle w:val="NewNormal"/>
              <w:rPr>
                <w:rFonts w:cs="Arial"/>
                <w:lang w:val="en-AU"/>
              </w:rPr>
            </w:pPr>
          </w:p>
        </w:tc>
        <w:tc>
          <w:tcPr>
            <w:tcW w:w="1842" w:type="dxa"/>
          </w:tcPr>
          <w:p w:rsidR="000A640B" w:rsidRDefault="00EE07A5" w:rsidP="003C69E2">
            <w:pPr>
              <w:pStyle w:val="NewNormal"/>
              <w:jc w:val="right"/>
              <w:rPr>
                <w:rFonts w:cs="Arial"/>
                <w:lang w:val="en-AU"/>
              </w:rPr>
            </w:pPr>
            <w:r>
              <w:rPr>
                <w:rFonts w:cs="Arial"/>
                <w:lang w:val="en-AU"/>
              </w:rPr>
              <w:t>Balance</w:t>
            </w:r>
            <w:r w:rsidR="000A640B">
              <w:rPr>
                <w:rFonts w:cs="Arial"/>
                <w:lang w:val="en-AU"/>
              </w:rPr>
              <w:t xml:space="preserve"> </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•2YE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8A7E10" w:rsidRPr="008A7E10">
        <w:rPr>
          <w:rFonts w:cs="Arial"/>
          <w:lang w:val="en-AU"/>
        </w:rPr>
        <w:t>If material is involved in a fire use water fog (or if unavailable fine water spray), alcohol resistant foam,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 xml:space="preserve">May form flammable vapour mixtures with air.  Flameproof equipment necessary in area where this chemical is being used.  Nearby equipment must be earthed.  </w:t>
      </w:r>
      <w:r w:rsidR="004E4D46" w:rsidRPr="004E4D46">
        <w:rPr>
          <w:rFonts w:cs="Arial"/>
          <w:lang w:val="en-AU"/>
        </w:rPr>
        <w:lastRenderedPageBreak/>
        <w:t>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E82BF4">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E82BF4">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E82BF4">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E82BF4">
        <w:tc>
          <w:tcPr>
            <w:tcW w:w="4536" w:type="dxa"/>
          </w:tcPr>
          <w:p w:rsidR="001909DD" w:rsidRDefault="00EE07A5" w:rsidP="00CF6FAF">
            <w:pPr>
              <w:pStyle w:val="NewNormal"/>
              <w:tabs>
                <w:tab w:val="left" w:pos="945"/>
              </w:tabs>
              <w:rPr>
                <w:rFonts w:cs="Arial"/>
                <w:lang w:val="en-AU"/>
              </w:rPr>
            </w:pPr>
            <w:r>
              <w:rPr>
                <w:rFonts w:cs="Arial"/>
                <w:lang w:val="en-AU"/>
              </w:rPr>
              <w:t>Ethyl alcohol</w:t>
            </w:r>
          </w:p>
        </w:tc>
        <w:tc>
          <w:tcPr>
            <w:tcW w:w="1021" w:type="dxa"/>
          </w:tcPr>
          <w:p w:rsidR="00E82BF4" w:rsidRDefault="00F2016B">
            <w:pPr>
              <w:pStyle w:val="NewNormal"/>
              <w:tabs>
                <w:tab w:val="left" w:pos="945"/>
              </w:tabs>
              <w:jc w:val="center"/>
              <w:rPr>
                <w:rFonts w:cs="Arial"/>
                <w:lang w:val="en-AU"/>
              </w:rPr>
            </w:pPr>
            <w:r>
              <w:rPr>
                <w:rFonts w:cs="Arial"/>
                <w:lang w:val="en-AU"/>
              </w:rPr>
              <w:t>1000</w:t>
            </w:r>
          </w:p>
        </w:tc>
        <w:tc>
          <w:tcPr>
            <w:tcW w:w="1021" w:type="dxa"/>
          </w:tcPr>
          <w:p w:rsidR="00E82BF4" w:rsidRDefault="00F2016B">
            <w:pPr>
              <w:pStyle w:val="NewNormal"/>
              <w:tabs>
                <w:tab w:val="left" w:pos="945"/>
              </w:tabs>
              <w:jc w:val="center"/>
              <w:rPr>
                <w:rFonts w:cs="Arial"/>
                <w:lang w:val="en-AU"/>
              </w:rPr>
            </w:pPr>
            <w:r>
              <w:rPr>
                <w:rFonts w:cs="Arial"/>
                <w:lang w:val="en-AU"/>
              </w:rPr>
              <w:t>1880</w:t>
            </w:r>
          </w:p>
        </w:tc>
        <w:tc>
          <w:tcPr>
            <w:tcW w:w="1021" w:type="dxa"/>
          </w:tcPr>
          <w:p w:rsidR="00E82BF4" w:rsidRDefault="00F2016B">
            <w:pPr>
              <w:pStyle w:val="NewNormal"/>
              <w:tabs>
                <w:tab w:val="left" w:pos="945"/>
              </w:tabs>
              <w:jc w:val="center"/>
              <w:rPr>
                <w:rFonts w:cs="Arial"/>
                <w:lang w:val="en-AU"/>
              </w:rPr>
            </w:pPr>
            <w:r>
              <w:rPr>
                <w:rFonts w:cs="Arial"/>
                <w:lang w:val="en-AU"/>
              </w:rPr>
              <w:t>-</w:t>
            </w:r>
          </w:p>
        </w:tc>
        <w:tc>
          <w:tcPr>
            <w:tcW w:w="1021" w:type="dxa"/>
          </w:tcPr>
          <w:p w:rsidR="00E82BF4" w:rsidRDefault="00F2016B">
            <w:pPr>
              <w:pStyle w:val="NewNormal"/>
              <w:tabs>
                <w:tab w:val="left" w:pos="945"/>
              </w:tabs>
              <w:jc w:val="center"/>
              <w:rPr>
                <w:rFonts w:cs="Arial"/>
                <w:lang w:val="en-AU"/>
              </w:rPr>
            </w:pPr>
            <w:r>
              <w:rPr>
                <w:rFonts w:cs="Arial"/>
                <w:lang w:val="en-AU"/>
              </w:rPr>
              <w:t>-</w:t>
            </w:r>
          </w:p>
        </w:tc>
        <w:tc>
          <w:tcPr>
            <w:tcW w:w="1361" w:type="dxa"/>
          </w:tcPr>
          <w:p w:rsidR="00E82BF4" w:rsidRDefault="00F2016B">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lastRenderedPageBreak/>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EE07A5">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EE07A5">
        <w:rPr>
          <w:rFonts w:cs="Arial"/>
          <w:lang w:val="en-AU"/>
        </w:rPr>
        <w:t>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E82BF4">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EE07A5" w:rsidP="00983E9A">
            <w:pPr>
              <w:pStyle w:val="NewNormal"/>
              <w:rPr>
                <w:rFonts w:cs="Arial"/>
                <w:lang w:val="en-AU"/>
              </w:rPr>
            </w:pPr>
            <w:r>
              <w:rPr>
                <w:rFonts w:cs="Arial"/>
                <w:lang w:val="en-AU"/>
              </w:rPr>
              <w:t>Liquid</w:t>
            </w:r>
          </w:p>
        </w:tc>
      </w:tr>
      <w:tr w:rsidR="00E82BF4">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EE07A5" w:rsidP="00983E9A">
            <w:pPr>
              <w:pStyle w:val="NewNormal"/>
              <w:rPr>
                <w:rFonts w:cs="Arial"/>
                <w:lang w:val="en-AU"/>
              </w:rPr>
            </w:pPr>
            <w:r>
              <w:rPr>
                <w:rFonts w:cs="Arial"/>
                <w:lang w:val="en-AU"/>
              </w:rPr>
              <w:t>Clear</w:t>
            </w:r>
          </w:p>
        </w:tc>
      </w:tr>
      <w:tr w:rsidR="00E82BF4">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EE07A5" w:rsidP="00983E9A">
            <w:pPr>
              <w:pStyle w:val="NewNormal"/>
              <w:rPr>
                <w:rFonts w:cs="Arial"/>
                <w:lang w:val="en-AU"/>
              </w:rPr>
            </w:pPr>
            <w:r>
              <w:rPr>
                <w:rFonts w:cs="Arial"/>
                <w:lang w:val="en-AU"/>
              </w:rPr>
              <w:t>N Av</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E82BF4">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EE07A5" w:rsidP="00446760">
            <w:pPr>
              <w:pStyle w:val="NewNormal"/>
              <w:rPr>
                <w:rFonts w:cs="Arial"/>
                <w:lang w:val="en-AU"/>
              </w:rPr>
            </w:pPr>
            <w:r>
              <w:rPr>
                <w:rFonts w:cs="Arial"/>
                <w:lang w:val="en-AU"/>
              </w:rPr>
              <w:t>Miscible with water</w:t>
            </w:r>
          </w:p>
        </w:tc>
      </w:tr>
      <w:tr w:rsidR="00E82BF4">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EE07A5" w:rsidP="00446760">
            <w:pPr>
              <w:pStyle w:val="NewNormal"/>
              <w:rPr>
                <w:rFonts w:cs="Arial"/>
                <w:lang w:val="en-AU"/>
              </w:rPr>
            </w:pPr>
            <w:r>
              <w:rPr>
                <w:rFonts w:cs="Arial"/>
                <w:lang w:val="en-AU"/>
              </w:rPr>
              <w:t>0.79 - 0.80</w:t>
            </w:r>
          </w:p>
        </w:tc>
      </w:tr>
      <w:tr w:rsidR="00E82BF4">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EE07A5" w:rsidP="00446760">
            <w:pPr>
              <w:pStyle w:val="NewNormal"/>
              <w:rPr>
                <w:rFonts w:cs="Arial"/>
                <w:lang w:val="en-AU"/>
              </w:rPr>
            </w:pPr>
            <w:r>
              <w:rPr>
                <w:rFonts w:cs="Arial"/>
                <w:lang w:val="en-AU"/>
              </w:rPr>
              <w:t>N Av</w:t>
            </w:r>
          </w:p>
        </w:tc>
      </w:tr>
      <w:tr w:rsidR="00E82BF4">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EE07A5" w:rsidP="00446760">
            <w:pPr>
              <w:pStyle w:val="NewNormal"/>
              <w:rPr>
                <w:rFonts w:cs="Arial"/>
                <w:lang w:val="en-AU"/>
              </w:rPr>
            </w:pPr>
            <w:r>
              <w:rPr>
                <w:rFonts w:cs="Arial"/>
                <w:lang w:val="en-AU"/>
              </w:rPr>
              <w:t>1.59</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EE07A5" w:rsidP="00446760">
            <w:pPr>
              <w:pStyle w:val="NewNormal"/>
              <w:rPr>
                <w:rFonts w:cs="Arial"/>
                <w:lang w:val="en-AU"/>
              </w:rPr>
            </w:pPr>
            <w:r>
              <w:rPr>
                <w:rFonts w:cs="Arial"/>
                <w:lang w:val="en-AU"/>
              </w:rPr>
              <w:t>58.1</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EE07A5" w:rsidP="00446760">
            <w:pPr>
              <w:pStyle w:val="NewNormal"/>
              <w:rPr>
                <w:rFonts w:cs="Arial"/>
                <w:lang w:val="en-AU"/>
              </w:rPr>
            </w:pPr>
            <w:r>
              <w:rPr>
                <w:rFonts w:cs="Arial"/>
                <w:lang w:val="en-AU"/>
              </w:rPr>
              <w:t>13 (CC)</w:t>
            </w:r>
          </w:p>
        </w:tc>
      </w:tr>
      <w:tr w:rsidR="00E82BF4">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EE07A5" w:rsidP="003D0D60">
            <w:pPr>
              <w:pStyle w:val="NewNormal"/>
              <w:rPr>
                <w:rFonts w:cs="Arial"/>
                <w:lang w:val="en-AU"/>
              </w:rPr>
            </w:pPr>
            <w:r>
              <w:rPr>
                <w:rFonts w:cs="Arial"/>
                <w:lang w:val="en-AU"/>
              </w:rPr>
              <w:t>N Av</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EE07A5" w:rsidP="00446760">
            <w:pPr>
              <w:pStyle w:val="NewNormal"/>
              <w:rPr>
                <w:rFonts w:cs="Arial"/>
                <w:lang w:val="en-AU"/>
              </w:rPr>
            </w:pPr>
            <w:r>
              <w:rPr>
                <w:rFonts w:cs="Arial"/>
                <w:lang w:val="en-AU"/>
              </w:rPr>
              <w:t>392</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EE07A5" w:rsidP="00446760">
            <w:pPr>
              <w:pStyle w:val="NewNormal"/>
              <w:rPr>
                <w:rFonts w:cs="Arial"/>
                <w:lang w:val="en-AU"/>
              </w:rPr>
            </w:pPr>
            <w:r>
              <w:rPr>
                <w:rFonts w:cs="Arial"/>
                <w:lang w:val="en-AU"/>
              </w:rPr>
              <w:t>-117</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EE07A5" w:rsidP="00446760">
            <w:pPr>
              <w:pStyle w:val="NewNormal"/>
              <w:rPr>
                <w:rFonts w:cs="Arial"/>
                <w:lang w:val="en-AU"/>
              </w:rPr>
            </w:pPr>
            <w:r>
              <w:rPr>
                <w:rFonts w:cs="Arial"/>
                <w:lang w:val="en-AU"/>
              </w:rPr>
              <w:t>78</w:t>
            </w:r>
          </w:p>
        </w:tc>
      </w:tr>
      <w:tr w:rsidR="00E82BF4">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EE07A5" w:rsidP="00446760">
            <w:pPr>
              <w:pStyle w:val="NewNormal"/>
              <w:rPr>
                <w:rFonts w:cs="Arial"/>
                <w:lang w:val="en-GB"/>
              </w:rPr>
            </w:pPr>
            <w:r>
              <w:rPr>
                <w:rFonts w:cs="Arial"/>
                <w:lang w:val="en-GB"/>
              </w:rPr>
              <w:t>N Av</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EE07A5" w:rsidP="00446760">
            <w:pPr>
              <w:pStyle w:val="NewNormal"/>
              <w:rPr>
                <w:rFonts w:cs="Arial"/>
                <w:lang w:val="en-AU"/>
              </w:rPr>
            </w:pPr>
            <w:r>
              <w:rPr>
                <w:rFonts w:cs="Arial"/>
                <w:lang w:val="en-AU"/>
              </w:rPr>
              <w:t>N Av</w:t>
            </w:r>
          </w:p>
        </w:tc>
      </w:tr>
      <w:tr w:rsidR="00E82BF4">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EE07A5"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lastRenderedPageBreak/>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E82BF4">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EE07A5" w:rsidP="00147424">
            <w:pPr>
              <w:pStyle w:val="NewNormal"/>
              <w:rPr>
                <w:rFonts w:cs="Arial"/>
                <w:lang w:val="en-AU"/>
              </w:rPr>
            </w:pPr>
            <w:r>
              <w:rPr>
                <w:rFonts w:cs="Arial"/>
                <w:lang w:val="en-AU"/>
              </w:rPr>
              <w:t>1170</w:t>
            </w:r>
          </w:p>
        </w:tc>
      </w:tr>
      <w:tr w:rsidR="00E82BF4">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EE07A5" w:rsidP="00147424">
            <w:pPr>
              <w:pStyle w:val="NewNormal"/>
              <w:rPr>
                <w:rFonts w:cs="Arial"/>
                <w:lang w:val="en-AU"/>
              </w:rPr>
            </w:pPr>
            <w:r>
              <w:rPr>
                <w:rFonts w:cs="Arial"/>
                <w:lang w:val="en-AU"/>
              </w:rPr>
              <w:t>3</w:t>
            </w:r>
          </w:p>
        </w:tc>
      </w:tr>
      <w:tr w:rsidR="00E82BF4">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EE07A5" w:rsidP="00147424">
            <w:pPr>
              <w:pStyle w:val="NewNormal"/>
              <w:rPr>
                <w:rFonts w:cs="Arial"/>
                <w:lang w:val="en-AU"/>
              </w:rPr>
            </w:pPr>
            <w:r>
              <w:rPr>
                <w:rFonts w:cs="Arial"/>
                <w:lang w:val="en-AU"/>
              </w:rPr>
              <w:t>II</w:t>
            </w:r>
          </w:p>
        </w:tc>
      </w:tr>
      <w:tr w:rsidR="00E82BF4">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EE07A5" w:rsidP="00147424">
            <w:pPr>
              <w:pStyle w:val="NewNormal"/>
              <w:rPr>
                <w:rFonts w:cs="Arial"/>
                <w:lang w:val="en-AU"/>
              </w:rPr>
            </w:pPr>
            <w:r>
              <w:rPr>
                <w:snapToGrid w:val="0"/>
                <w:lang w:val="en-AU"/>
              </w:rPr>
              <w:t>•2YE</w:t>
            </w:r>
          </w:p>
        </w:tc>
      </w:tr>
      <w:tr w:rsidR="00E82BF4">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EE07A5" w:rsidP="00147424">
            <w:pPr>
              <w:pStyle w:val="NewNormal"/>
              <w:rPr>
                <w:rFonts w:cs="Arial"/>
                <w:lang w:val="en-AU"/>
              </w:rPr>
            </w:pPr>
            <w:r>
              <w:rPr>
                <w:rFonts w:cs="Arial"/>
                <w:lang w:val="en-AU"/>
              </w:rPr>
              <w:t>14</w:t>
            </w:r>
          </w:p>
        </w:tc>
      </w:tr>
      <w:tr w:rsidR="00E82BF4">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E82BF4">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EE07A5" w:rsidP="00147424">
            <w:pPr>
              <w:pStyle w:val="NewNormal"/>
              <w:rPr>
                <w:rFonts w:cs="Arial"/>
                <w:lang w:val="en-AU"/>
              </w:rPr>
            </w:pPr>
            <w:r>
              <w:rPr>
                <w:rFonts w:cs="Arial"/>
                <w:lang w:val="en-AU"/>
              </w:rPr>
              <w:t>ETHYL ALCOHOL SOLUTION</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E82BF4">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EE07A5" w:rsidP="00147424">
            <w:pPr>
              <w:pStyle w:val="NewNormal"/>
              <w:rPr>
                <w:rFonts w:cs="Arial"/>
                <w:lang w:val="en-AU"/>
              </w:rPr>
            </w:pPr>
            <w:r>
              <w:rPr>
                <w:rFonts w:cs="Arial"/>
                <w:lang w:val="en-AU"/>
              </w:rPr>
              <w:t>1170</w:t>
            </w:r>
          </w:p>
        </w:tc>
      </w:tr>
      <w:tr w:rsidR="00E82BF4">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EE07A5" w:rsidP="00147424">
            <w:pPr>
              <w:pStyle w:val="NewNormal"/>
              <w:rPr>
                <w:rFonts w:cs="Arial"/>
                <w:lang w:val="en-AU"/>
              </w:rPr>
            </w:pPr>
            <w:r>
              <w:rPr>
                <w:rFonts w:cs="Arial"/>
                <w:lang w:val="en-AU"/>
              </w:rPr>
              <w:t>3</w:t>
            </w:r>
          </w:p>
        </w:tc>
      </w:tr>
      <w:tr w:rsidR="00E82BF4">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EE07A5" w:rsidP="00147424">
            <w:pPr>
              <w:pStyle w:val="NewNormal"/>
              <w:rPr>
                <w:rFonts w:cs="Arial"/>
                <w:lang w:val="en-AU"/>
              </w:rPr>
            </w:pPr>
            <w:r>
              <w:rPr>
                <w:rFonts w:cs="Arial"/>
                <w:lang w:val="en-AU"/>
              </w:rPr>
              <w:t>II</w:t>
            </w:r>
          </w:p>
        </w:tc>
      </w:tr>
      <w:tr w:rsidR="00E82BF4">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E82BF4">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EE07A5" w:rsidP="00147424">
            <w:pPr>
              <w:pStyle w:val="NewNormal"/>
              <w:rPr>
                <w:rFonts w:cs="Arial"/>
                <w:lang w:val="en-AU"/>
              </w:rPr>
            </w:pPr>
            <w:r>
              <w:rPr>
                <w:rFonts w:cs="Arial"/>
                <w:lang w:val="en-AU"/>
              </w:rPr>
              <w:t>ETHYL ALCOHOL SOLUTION</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E82BF4">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EE07A5" w:rsidP="00147424">
            <w:pPr>
              <w:pStyle w:val="NewNormal"/>
              <w:rPr>
                <w:rFonts w:cs="Arial"/>
                <w:lang w:val="en-AU"/>
              </w:rPr>
            </w:pPr>
            <w:r>
              <w:rPr>
                <w:rFonts w:cs="Arial"/>
                <w:lang w:val="en-AU"/>
              </w:rPr>
              <w:t>1170</w:t>
            </w:r>
          </w:p>
        </w:tc>
      </w:tr>
      <w:tr w:rsidR="00E82BF4">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EE07A5" w:rsidP="00147424">
            <w:pPr>
              <w:pStyle w:val="NewNormal"/>
              <w:rPr>
                <w:rFonts w:cs="Arial"/>
                <w:lang w:val="en-AU"/>
              </w:rPr>
            </w:pPr>
            <w:r>
              <w:rPr>
                <w:rFonts w:cs="Arial"/>
                <w:lang w:val="en-AU"/>
              </w:rPr>
              <w:t>3</w:t>
            </w:r>
          </w:p>
        </w:tc>
      </w:tr>
      <w:tr w:rsidR="00E82BF4">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EE07A5" w:rsidP="00147424">
            <w:pPr>
              <w:pStyle w:val="NewNormal"/>
              <w:rPr>
                <w:rFonts w:cs="Arial"/>
                <w:lang w:val="en-AU"/>
              </w:rPr>
            </w:pPr>
            <w:r>
              <w:rPr>
                <w:rFonts w:cs="Arial"/>
                <w:lang w:val="en-AU"/>
              </w:rPr>
              <w:t>II</w:t>
            </w:r>
          </w:p>
        </w:tc>
      </w:tr>
      <w:tr w:rsidR="00E82BF4">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E82BF4">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EE07A5" w:rsidP="00147424">
            <w:pPr>
              <w:pStyle w:val="NewNormal"/>
              <w:rPr>
                <w:rFonts w:cs="Arial"/>
                <w:lang w:val="en-GB"/>
              </w:rPr>
            </w:pPr>
            <w:r>
              <w:rPr>
                <w:rFonts w:cs="Arial"/>
                <w:lang w:val="en-AU"/>
              </w:rPr>
              <w:t>ETHYL ALCOHOL SOLUTION</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Organic solvents excluding halogenated solvents</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tabs>
          <w:tab w:val="left" w:pos="3420"/>
        </w:tabs>
        <w:rPr>
          <w:rFonts w:cs="Arial"/>
          <w:lang w:val="en-AU"/>
        </w:rPr>
      </w:pPr>
      <w:r w:rsidRPr="006F49A6">
        <w:rPr>
          <w:rFonts w:cs="Arial"/>
          <w:lang w:val="en-AU"/>
        </w:rPr>
        <w:t>•</w:t>
      </w:r>
      <w:r>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851733" w:rsidP="0036082D">
      <w:pPr>
        <w:pStyle w:val="NewNormal"/>
        <w:rPr>
          <w:rFonts w:cs="Arial"/>
          <w:lang w:val="en-AU"/>
        </w:rPr>
      </w:pPr>
      <w:r w:rsidRPr="006F49A6">
        <w:rPr>
          <w:rFonts w:cs="Arial"/>
          <w:lang w:val="en-AU"/>
        </w:rPr>
        <w:t>•</w:t>
      </w:r>
      <w:r>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E964C2" w:rsidRDefault="00E964C2" w:rsidP="00B06937">
      <w:pPr>
        <w:pStyle w:val="NewNormal"/>
        <w:rPr>
          <w:rFonts w:cs="Arial"/>
          <w:b/>
          <w:lang w:val="en-AU"/>
        </w:rPr>
      </w:pPr>
    </w:p>
    <w:p w:rsidR="00037153" w:rsidRDefault="00413A46" w:rsidP="00B06937">
      <w:pPr>
        <w:pStyle w:val="NewNormal"/>
        <w:rPr>
          <w:rFonts w:cs="Arial"/>
          <w:lang w:val="en-AU"/>
        </w:rPr>
      </w:pPr>
      <w:r w:rsidRPr="00413A46">
        <w:rPr>
          <w:rFonts w:cs="Arial"/>
          <w:b/>
          <w:lang w:val="en-AU"/>
        </w:rPr>
        <w:t xml:space="preserve">HSNO Group Standard: </w:t>
      </w:r>
      <w:r>
        <w:rPr>
          <w:rFonts w:cs="Arial"/>
          <w:lang w:val="en-AU"/>
        </w:rPr>
        <w:t>HSR002650 - Solvents (Flammable) Group Standard 2006</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E82BF4">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EE07A5"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3"/>
      <w:footerReference w:type="default" r:id="rId14"/>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A5" w:rsidRDefault="00EE07A5" w:rsidP="00BC1EC3">
      <w:pPr>
        <w:spacing w:after="0" w:line="240" w:lineRule="auto"/>
      </w:pPr>
      <w:r>
        <w:separator/>
      </w:r>
    </w:p>
  </w:endnote>
  <w:endnote w:type="continuationSeparator" w:id="0">
    <w:p w:rsidR="00EE07A5" w:rsidRDefault="00EE07A5"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E82BF4">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JOHN DUFF &amp; CO METHYLATED SPIRITS</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P00202</w:t>
          </w:r>
        </w:p>
      </w:tc>
    </w:tr>
    <w:tr w:rsidR="00E82BF4">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E82BF4">
      <w:tc>
        <w:tcPr>
          <w:tcW w:w="4395" w:type="dxa"/>
          <w:gridSpan w:val="2"/>
          <w:tcMar>
            <w:top w:w="0" w:type="dxa"/>
            <w:left w:w="108" w:type="dxa"/>
            <w:bottom w:w="0" w:type="dxa"/>
            <w:right w:w="108" w:type="dxa"/>
          </w:tcMar>
          <w:hideMark/>
        </w:tcPr>
        <w:p w:rsidR="00831CBA" w:rsidRDefault="00831CBA" w:rsidP="009A1568">
          <w:pPr>
            <w:pStyle w:val="SubHeading"/>
          </w:pPr>
          <w:r>
            <w:t>Issued: 2017-03-17</w:t>
          </w:r>
        </w:p>
      </w:tc>
      <w:tc>
        <w:tcPr>
          <w:tcW w:w="2289" w:type="dxa"/>
          <w:gridSpan w:val="3"/>
          <w:tcMar>
            <w:top w:w="0" w:type="dxa"/>
            <w:left w:w="108" w:type="dxa"/>
            <w:bottom w:w="0" w:type="dxa"/>
            <w:right w:w="108" w:type="dxa"/>
          </w:tcMar>
          <w:hideMark/>
        </w:tcPr>
        <w:p w:rsidR="00831CBA" w:rsidRDefault="00831CBA">
          <w:pPr>
            <w:pStyle w:val="SubHeading"/>
            <w:ind w:left="345"/>
          </w:pPr>
          <w:r>
            <w:t>Version: 1.0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F2016B">
            <w:rPr>
              <w:noProof/>
            </w:rPr>
            <w:t>4</w:t>
          </w:r>
          <w:r>
            <w:rPr>
              <w:b w:val="0"/>
            </w:rPr>
            <w:fldChar w:fldCharType="end"/>
          </w:r>
          <w:r>
            <w:t xml:space="preserve"> of </w:t>
          </w:r>
          <w:r w:rsidR="00F2016B">
            <w:fldChar w:fldCharType="begin"/>
          </w:r>
          <w:r w:rsidR="00F2016B">
            <w:instrText xml:space="preserve"> NUMPAGES  \* Arabic  \* MERGEFORMAT </w:instrText>
          </w:r>
          <w:r w:rsidR="00F2016B">
            <w:fldChar w:fldCharType="separate"/>
          </w:r>
          <w:r w:rsidR="00F2016B">
            <w:rPr>
              <w:noProof/>
            </w:rPr>
            <w:t>5</w:t>
          </w:r>
          <w:r w:rsidR="00F2016B">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A5" w:rsidRDefault="00EE07A5" w:rsidP="00BC1EC3">
      <w:pPr>
        <w:spacing w:after="0" w:line="240" w:lineRule="auto"/>
      </w:pPr>
      <w:r>
        <w:separator/>
      </w:r>
    </w:p>
  </w:footnote>
  <w:footnote w:type="continuationSeparator" w:id="0">
    <w:p w:rsidR="00EE07A5" w:rsidRDefault="00EE07A5"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E82BF4">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110600" cy="720000"/>
                <wp:effectExtent l="0" t="0" r="0"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0600" cy="720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6F42"/>
    <w:rsid w:val="00037153"/>
    <w:rsid w:val="00043B1C"/>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A2F83"/>
    <w:rsid w:val="000A308D"/>
    <w:rsid w:val="000A3C7D"/>
    <w:rsid w:val="000A640B"/>
    <w:rsid w:val="000A692F"/>
    <w:rsid w:val="000A6C30"/>
    <w:rsid w:val="000B5BD2"/>
    <w:rsid w:val="000C0159"/>
    <w:rsid w:val="000C43F1"/>
    <w:rsid w:val="000E0D52"/>
    <w:rsid w:val="000E18DF"/>
    <w:rsid w:val="000E5630"/>
    <w:rsid w:val="000E7038"/>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86445"/>
    <w:rsid w:val="00187392"/>
    <w:rsid w:val="00187505"/>
    <w:rsid w:val="001909DD"/>
    <w:rsid w:val="00190BB9"/>
    <w:rsid w:val="00190C7F"/>
    <w:rsid w:val="00193A68"/>
    <w:rsid w:val="001974B2"/>
    <w:rsid w:val="001A496A"/>
    <w:rsid w:val="001A6900"/>
    <w:rsid w:val="001B08C3"/>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5CC4"/>
    <w:rsid w:val="006A5E1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B015D"/>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784F"/>
    <w:rsid w:val="00B30555"/>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C00C8"/>
    <w:rsid w:val="00DC271F"/>
    <w:rsid w:val="00DD11FF"/>
    <w:rsid w:val="00DD16DF"/>
    <w:rsid w:val="00DD16EF"/>
    <w:rsid w:val="00DD3F8F"/>
    <w:rsid w:val="00DD58F9"/>
    <w:rsid w:val="00DE1A8E"/>
    <w:rsid w:val="00DE2577"/>
    <w:rsid w:val="00DE6B14"/>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8A"/>
    <w:rsid w:val="00E63FED"/>
    <w:rsid w:val="00E64F34"/>
    <w:rsid w:val="00E70525"/>
    <w:rsid w:val="00E75AC0"/>
    <w:rsid w:val="00E76EB7"/>
    <w:rsid w:val="00E77CD5"/>
    <w:rsid w:val="00E80A27"/>
    <w:rsid w:val="00E82BF4"/>
    <w:rsid w:val="00E83724"/>
    <w:rsid w:val="00E839EC"/>
    <w:rsid w:val="00E83C46"/>
    <w:rsid w:val="00E964C2"/>
    <w:rsid w:val="00EA286F"/>
    <w:rsid w:val="00EA3EEE"/>
    <w:rsid w:val="00EA5A18"/>
    <w:rsid w:val="00EA6377"/>
    <w:rsid w:val="00EB220B"/>
    <w:rsid w:val="00EB28A7"/>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016B"/>
    <w:rsid w:val="00F2334E"/>
    <w:rsid w:val="00F2360D"/>
    <w:rsid w:val="00F24455"/>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hazard-classification_0">
    <odx:dataBinding xpath="/material/aus-hazard-classifications/aus-hazard-classification[1]" storeItemID="{A29FFE5D-89DD-4EAC-BCEF-2867E6BF0621}"/>
  </odx:xpath>
  <odx:xpath id="aus-ghs-pic_0">
    <odx:dataBinding xpath="/material/aus-pictograms/aus-pictogram[1]/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34789C8A-E622-4418-BFF8-D5D03993735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60</cp:revision>
  <dcterms:created xsi:type="dcterms:W3CDTF">2016-06-15T02:45:00Z</dcterms:created>
  <dcterms:modified xsi:type="dcterms:W3CDTF">2017-03-17T04:25:00Z</dcterms:modified>
</cp:coreProperties>
</file>