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C3" w:rsidRPr="00BC1EC3" w:rsidRDefault="006E1B93" w:rsidP="00BC1EC3">
      <w:pPr>
        <w:pStyle w:val="SubHeading"/>
        <w:keepNext w:val="0"/>
        <w:jc w:val="center"/>
        <w:rPr>
          <w:rFonts w:cs="Arial"/>
          <w:sz w:val="24"/>
          <w:lang w:val="en-AU"/>
        </w:rPr>
      </w:pPr>
      <w:r w:rsidRPr="002A3DEC">
        <w:rPr>
          <w:rFonts w:cs="Arial"/>
          <w:sz w:val="24"/>
          <w:lang w:val="en-AU"/>
        </w:rPr>
        <w:t>NON-</w:t>
      </w:r>
      <w:r w:rsidR="00BC1EC3" w:rsidRPr="00BC1EC3">
        <w:rPr>
          <w:rFonts w:cs="Arial"/>
          <w:sz w:val="24"/>
          <w:lang w:val="en-AU"/>
        </w:rPr>
        <w:t xml:space="preserve">Hazardous </w:t>
      </w:r>
      <w:r w:rsidR="002735A9">
        <w:rPr>
          <w:rFonts w:cs="Arial"/>
          <w:sz w:val="24"/>
          <w:lang w:val="en-AU"/>
        </w:rPr>
        <w:t>Chemical</w:t>
      </w:r>
      <w:r w:rsidR="00BC1EC3" w:rsidRPr="00BC1EC3">
        <w:rPr>
          <w:rFonts w:cs="Arial"/>
          <w:sz w:val="24"/>
          <w:lang w:val="en-AU"/>
        </w:rPr>
        <w:t xml:space="preserve">, </w:t>
      </w:r>
      <w:r w:rsidR="00BA25F3">
        <w:rPr>
          <w:rFonts w:cs="Arial"/>
          <w:sz w:val="24"/>
          <w:lang w:val="en-AU"/>
        </w:rPr>
        <w:t>NON-</w:t>
      </w:r>
      <w:r w:rsidR="00BC1EC3" w:rsidRPr="00BC1EC3">
        <w:rPr>
          <w:rFonts w:cs="Arial"/>
          <w:sz w:val="24"/>
          <w:lang w:val="en-AU"/>
        </w:rPr>
        <w:t>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BC1EC3">
      <w:pPr>
        <w:pStyle w:val="NewNormal"/>
        <w:rPr>
          <w:rFonts w:cs="Arial"/>
          <w:lang w:val="en-AU"/>
        </w:rPr>
      </w:pPr>
    </w:p>
    <w:p w:rsidR="00BC1EC3" w:rsidRPr="00BC1EC3" w:rsidRDefault="00BC1EC3" w:rsidP="00FF1F9C">
      <w:pPr>
        <w:pStyle w:val="SubHeading"/>
        <w:keepNext w:val="0"/>
        <w:tabs>
          <w:tab w:val="left" w:pos="3570"/>
        </w:tabs>
        <w:rPr>
          <w:rFonts w:cs="Arial"/>
          <w:color w:val="000000"/>
          <w:lang w:val="en-AU"/>
        </w:rPr>
      </w:pPr>
      <w:r w:rsidRPr="00BC1EC3">
        <w:rPr>
          <w:rFonts w:cs="Arial"/>
          <w:lang w:val="en-AU"/>
        </w:rPr>
        <w:t xml:space="preserve">Product name: </w:t>
      </w:r>
      <w:r>
        <w:rPr>
          <w:rFonts w:cs="Arial"/>
          <w:b w:val="0"/>
          <w:color w:val="000000"/>
          <w:sz w:val="36"/>
          <w:lang w:val="en-AU"/>
        </w:rPr>
        <w:t>BOGE SYPREM 8000K AC FULL SYN 100</w:t>
      </w:r>
    </w:p>
    <w:p w:rsidR="00BC1EC3" w:rsidRDefault="00BC1EC3" w:rsidP="00BC1EC3">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3"/>
        <w:gridCol w:w="2750"/>
      </w:tblGrid>
      <w:tr w:rsidR="00672A7B" w:rsidTr="00672A7B">
        <w:tc>
          <w:tcPr>
            <w:tcW w:w="7313" w:type="dxa"/>
          </w:tcPr>
          <w:p w:rsidR="00672A7B" w:rsidRPr="005114E6" w:rsidRDefault="00672A7B" w:rsidP="00AC3464">
            <w:pPr>
              <w:pStyle w:val="NewNormal"/>
              <w:rPr>
                <w:rFonts w:cs="Arial"/>
                <w:b/>
                <w:lang w:val="en-AU"/>
              </w:rPr>
            </w:pPr>
            <w:bookmarkStart w:id="0" w:name="SYNONYMS_TABLE"/>
            <w:bookmarkStart w:id="1" w:name="_GoBack"/>
            <w:bookmarkEnd w:id="1"/>
            <w:r w:rsidRPr="005114E6">
              <w:rPr>
                <w:rFonts w:cs="Arial"/>
                <w:b/>
                <w:lang w:val="en-AU"/>
              </w:rPr>
              <w:t>Synonyms</w:t>
            </w:r>
          </w:p>
        </w:tc>
        <w:tc>
          <w:tcPr>
            <w:tcW w:w="2750" w:type="dxa"/>
          </w:tcPr>
          <w:p w:rsidR="00672A7B" w:rsidRPr="005114E6" w:rsidRDefault="00672A7B" w:rsidP="00AC3464">
            <w:pPr>
              <w:pStyle w:val="NewNormal"/>
              <w:rPr>
                <w:rFonts w:cs="Arial"/>
                <w:b/>
                <w:lang w:val="en-AU"/>
              </w:rPr>
            </w:pPr>
            <w:r>
              <w:rPr>
                <w:rFonts w:cs="Arial"/>
                <w:b/>
                <w:lang w:val="en-AU"/>
              </w:rPr>
              <w:t>Product Code</w:t>
            </w:r>
          </w:p>
        </w:tc>
      </w:tr>
      <w:tr w:rsidR="00672A7B" w:rsidTr="00672A7B">
        <w:tc>
          <w:tcPr>
            <w:tcW w:w="7313" w:type="dxa"/>
          </w:tcPr>
          <w:p w:rsidR="00672A7B" w:rsidRPr="005114E6" w:rsidRDefault="00672A7B" w:rsidP="00AC3464">
            <w:pPr>
              <w:pStyle w:val="NewNormal"/>
              <w:rPr>
                <w:rFonts w:cs="Arial"/>
                <w:lang w:val="en-AU"/>
              </w:rPr>
            </w:pPr>
            <w:r>
              <w:rPr>
                <w:rFonts w:cs="Arial"/>
                <w:lang w:val="en-GB"/>
              </w:rPr>
              <w:t>BOGE SYPREM 8000K AC FULL SYN 100, 205 Litres</w:t>
            </w:r>
          </w:p>
        </w:tc>
        <w:tc>
          <w:tcPr>
            <w:tcW w:w="2750" w:type="dxa"/>
          </w:tcPr>
          <w:p w:rsidR="00672A7B" w:rsidRDefault="00672A7B" w:rsidP="00AC3464">
            <w:pPr>
              <w:pStyle w:val="NewNormal"/>
              <w:rPr>
                <w:rFonts w:cs="Arial"/>
                <w:lang w:val="en-AU"/>
              </w:rPr>
            </w:pPr>
            <w:r>
              <w:rPr>
                <w:rFonts w:cs="Arial"/>
                <w:lang w:val="en-AU"/>
              </w:rPr>
              <w:t>BC8000K205</w:t>
            </w:r>
          </w:p>
        </w:tc>
      </w:tr>
      <w:bookmarkEnd w:id="0"/>
    </w:tbl>
    <w:p w:rsidR="005114E6" w:rsidRDefault="005114E6" w:rsidP="00BC1EC3">
      <w:pPr>
        <w:pStyle w:val="NewNormal"/>
        <w:rPr>
          <w:rFonts w:cs="Arial"/>
          <w:lang w:val="en-AU"/>
        </w:rPr>
      </w:pPr>
    </w:p>
    <w:p w:rsidR="00BC1EC3" w:rsidRDefault="00BC1EC3" w:rsidP="00BC1EC3">
      <w:pPr>
        <w:pStyle w:val="NewNormal"/>
        <w:rPr>
          <w:rFonts w:cs="Arial"/>
          <w:lang w:val="en-AU"/>
        </w:rPr>
      </w:pPr>
      <w:r w:rsidRPr="00BC1EC3">
        <w:rPr>
          <w:rFonts w:cs="Arial"/>
          <w:b/>
          <w:lang w:val="en-AU"/>
        </w:rPr>
        <w:t>Recommended use:</w:t>
      </w:r>
      <w:r w:rsidRPr="00BC1EC3">
        <w:rPr>
          <w:rFonts w:cs="Arial"/>
          <w:lang w:val="en-AU"/>
        </w:rPr>
        <w:t xml:space="preserve"> </w:t>
      </w:r>
      <w:r>
        <w:rPr>
          <w:rFonts w:cs="Arial"/>
          <w:lang w:val="en-AU"/>
        </w:rPr>
        <w:t>A high quality Synthetic Compressor Oil with applications as circulating and bearing oil.</w:t>
      </w:r>
    </w:p>
    <w:p w:rsidR="00DC00C8" w:rsidRPr="00BC1EC3" w:rsidRDefault="00DC00C8" w:rsidP="00DC00C8">
      <w:pPr>
        <w:pStyle w:val="NewNormal"/>
        <w:rPr>
          <w:rFonts w:cs="Arial"/>
          <w:b/>
          <w:lang w:val="en-AU"/>
        </w:rPr>
      </w:pPr>
    </w:p>
    <w:p w:rsidR="00DC00C8" w:rsidRPr="005C08CC" w:rsidRDefault="00DC00C8" w:rsidP="00DC00C8">
      <w:pPr>
        <w:pStyle w:val="NewNormal"/>
        <w:widowControl/>
        <w:rPr>
          <w:vanish/>
          <w:color w:val="008000"/>
          <w:sz w:val="18"/>
          <w:szCs w:val="18"/>
        </w:rPr>
      </w:pPr>
    </w:p>
    <w:tbl>
      <w:tblPr>
        <w:tblW w:w="8647" w:type="dxa"/>
        <w:tblLayout w:type="fixed"/>
        <w:tblLook w:val="0000" w:firstRow="0" w:lastRow="0" w:firstColumn="0" w:lastColumn="0" w:noHBand="0" w:noVBand="0"/>
      </w:tblPr>
      <w:tblGrid>
        <w:gridCol w:w="1809"/>
        <w:gridCol w:w="6838"/>
      </w:tblGrid>
      <w:tr w:rsidR="009835CB">
        <w:tc>
          <w:tcPr>
            <w:tcW w:w="1809" w:type="dxa"/>
          </w:tcPr>
          <w:p w:rsidR="00CC4A5C" w:rsidRPr="001716A4" w:rsidRDefault="00CC4A5C" w:rsidP="00831CBA">
            <w:pPr>
              <w:pStyle w:val="SubHeading"/>
              <w:keepNext w:val="0"/>
              <w:widowControl/>
            </w:pPr>
            <w:bookmarkStart w:id="2" w:name="SUPPLIER_TABLE"/>
            <w:r w:rsidRPr="001716A4">
              <w:t>Supplier:</w:t>
            </w:r>
          </w:p>
        </w:tc>
        <w:tc>
          <w:tcPr>
            <w:tcW w:w="6838" w:type="dxa"/>
          </w:tcPr>
          <w:p w:rsidR="00CC4A5C" w:rsidRPr="001716A4" w:rsidRDefault="00EE07A5" w:rsidP="00825489">
            <w:pPr>
              <w:pStyle w:val="NewNormal"/>
              <w:widowControl/>
            </w:pPr>
            <w:bookmarkStart w:id="3" w:name="SUPPLIER"/>
            <w:r>
              <w:t>Peak Lubricants Pty Ltd</w:t>
            </w:r>
            <w:bookmarkEnd w:id="3"/>
          </w:p>
        </w:tc>
      </w:tr>
      <w:tr w:rsidR="009835CB">
        <w:tc>
          <w:tcPr>
            <w:tcW w:w="1809" w:type="dxa"/>
          </w:tcPr>
          <w:p w:rsidR="00CC4A5C" w:rsidRPr="001716A4" w:rsidRDefault="00CC4A5C" w:rsidP="00831CBA">
            <w:pPr>
              <w:pStyle w:val="SubHeading"/>
              <w:keepNext w:val="0"/>
              <w:widowControl/>
            </w:pPr>
            <w:r w:rsidRPr="001716A4">
              <w:t>ABN:</w:t>
            </w:r>
          </w:p>
        </w:tc>
        <w:tc>
          <w:tcPr>
            <w:tcW w:w="6838" w:type="dxa"/>
          </w:tcPr>
          <w:p w:rsidR="009835CB" w:rsidRDefault="00672A7B">
            <w:pPr>
              <w:pStyle w:val="NewNormal"/>
              <w:widowControl/>
            </w:pPr>
            <w:r>
              <w:t>74887410101</w:t>
            </w:r>
          </w:p>
        </w:tc>
      </w:tr>
      <w:tr w:rsidR="009835CB">
        <w:tc>
          <w:tcPr>
            <w:tcW w:w="1809" w:type="dxa"/>
          </w:tcPr>
          <w:p w:rsidR="00CC4A5C" w:rsidRPr="001716A4" w:rsidRDefault="00CC4A5C" w:rsidP="00831CBA">
            <w:pPr>
              <w:pStyle w:val="SubHeading"/>
              <w:keepNext w:val="0"/>
              <w:widowControl/>
            </w:pPr>
            <w:r w:rsidRPr="001716A4">
              <w:t>Street Address:</w:t>
            </w:r>
          </w:p>
        </w:tc>
        <w:tc>
          <w:tcPr>
            <w:tcW w:w="6838" w:type="dxa"/>
          </w:tcPr>
          <w:p w:rsidR="009835CB" w:rsidRDefault="00672A7B">
            <w:pPr>
              <w:pStyle w:val="NewNormal"/>
              <w:widowControl/>
            </w:pPr>
            <w:r>
              <w:t>224-230 South Gippsland Hwy</w:t>
            </w:r>
            <w:r>
              <w:br/>
            </w:r>
            <w:r>
              <w:t>Dandenong</w:t>
            </w:r>
            <w:r>
              <w:br/>
              <w:t>Victoria 3175</w:t>
            </w:r>
          </w:p>
        </w:tc>
      </w:tr>
      <w:tr w:rsidR="009835CB">
        <w:tc>
          <w:tcPr>
            <w:tcW w:w="1809" w:type="dxa"/>
          </w:tcPr>
          <w:p w:rsidR="00B15E51" w:rsidRPr="00C15D8C" w:rsidRDefault="00B15E51" w:rsidP="00831CBA">
            <w:pPr>
              <w:pStyle w:val="NewNormal"/>
              <w:widowControl/>
              <w:rPr>
                <w:b/>
              </w:rPr>
            </w:pPr>
            <w:r w:rsidRPr="00C15D8C">
              <w:rPr>
                <w:b/>
              </w:rPr>
              <w:t>Telephone:</w:t>
            </w:r>
          </w:p>
        </w:tc>
        <w:tc>
          <w:tcPr>
            <w:tcW w:w="6838" w:type="dxa"/>
          </w:tcPr>
          <w:p w:rsidR="009835CB" w:rsidRDefault="00672A7B">
            <w:pPr>
              <w:pStyle w:val="NewNormal"/>
              <w:widowControl/>
            </w:pPr>
            <w:r>
              <w:t>(03) 9799 0977</w:t>
            </w:r>
          </w:p>
        </w:tc>
      </w:tr>
      <w:bookmarkEnd w:id="2"/>
    </w:tbl>
    <w:p w:rsidR="00DC00C8" w:rsidRDefault="00DC00C8" w:rsidP="00DC00C8">
      <w:pPr>
        <w:pStyle w:val="NewNormal"/>
        <w:widowControl/>
      </w:pPr>
    </w:p>
    <w:tbl>
      <w:tblPr>
        <w:tblW w:w="10188" w:type="dxa"/>
        <w:tblLayout w:type="fixed"/>
        <w:tblLook w:val="0000" w:firstRow="0" w:lastRow="0" w:firstColumn="0" w:lastColumn="0" w:noHBand="0" w:noVBand="0"/>
      </w:tblPr>
      <w:tblGrid>
        <w:gridCol w:w="3228"/>
        <w:gridCol w:w="6960"/>
      </w:tblGrid>
      <w:tr w:rsidR="009835CB">
        <w:trPr>
          <w:cantSplit/>
        </w:trPr>
        <w:tc>
          <w:tcPr>
            <w:tcW w:w="3228" w:type="dxa"/>
            <w:tcBorders>
              <w:top w:val="nil"/>
              <w:left w:val="nil"/>
              <w:bottom w:val="nil"/>
              <w:right w:val="nil"/>
            </w:tcBorders>
          </w:tcPr>
          <w:p w:rsidR="00DC00C8" w:rsidRDefault="00DC00C8" w:rsidP="00831CBA">
            <w:pPr>
              <w:pStyle w:val="NewNormal"/>
              <w:rPr>
                <w:lang w:val="en-AU"/>
              </w:rPr>
            </w:pPr>
            <w:bookmarkStart w:id="4" w:name="EMERGENCY_TABLE"/>
            <w:r>
              <w:rPr>
                <w:b/>
                <w:lang w:val="en-AU"/>
              </w:rPr>
              <w:t>Emergency Telephone number:</w:t>
            </w:r>
          </w:p>
        </w:tc>
        <w:tc>
          <w:tcPr>
            <w:tcW w:w="6960" w:type="dxa"/>
            <w:tcBorders>
              <w:top w:val="nil"/>
              <w:left w:val="nil"/>
              <w:bottom w:val="nil"/>
              <w:right w:val="nil"/>
            </w:tcBorders>
          </w:tcPr>
          <w:p w:rsidR="009835CB" w:rsidRDefault="00672A7B">
            <w:pPr>
              <w:pStyle w:val="NewNormal"/>
              <w:rPr>
                <w:lang w:val="en-AU"/>
              </w:rPr>
            </w:pPr>
            <w:r>
              <w:rPr>
                <w:b/>
                <w:lang w:val="en-AU"/>
              </w:rPr>
              <w:t>(03) 9799 0977</w:t>
            </w:r>
          </w:p>
        </w:tc>
      </w:tr>
      <w:bookmarkEnd w:id="4"/>
    </w:tbl>
    <w:p w:rsidR="00B06937" w:rsidRDefault="00B06937" w:rsidP="00B06937">
      <w:pPr>
        <w:pStyle w:val="NewNormal"/>
        <w:rPr>
          <w:lang w:val="en-AU"/>
        </w:rPr>
      </w:pPr>
    </w:p>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D95555" w:rsidRDefault="00B06937" w:rsidP="00B06937">
      <w:pPr>
        <w:pStyle w:val="NewNormal"/>
        <w:rPr>
          <w:rFonts w:cs="Arial"/>
          <w:b/>
          <w:lang w:val="en-AU"/>
        </w:rPr>
      </w:pPr>
      <w:r w:rsidRPr="00E31F6C">
        <w:rPr>
          <w:rFonts w:cs="Arial"/>
          <w:b/>
          <w:lang w:val="en-AU"/>
        </w:rPr>
        <w:t>Based on available information, this material is not classified as hazardous according to criteria of Safe Work Australia.</w:t>
      </w:r>
    </w:p>
    <w:p w:rsidR="007D7A92" w:rsidRPr="00B06937" w:rsidRDefault="007D7A92" w:rsidP="007D7A92">
      <w:pPr>
        <w:pStyle w:val="NewNormal"/>
        <w:rPr>
          <w:rFonts w:cs="Arial"/>
          <w:lang w:val="en-AU"/>
        </w:rPr>
      </w:pP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Unknown</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533E02">
      <w:pPr>
        <w:pStyle w:val="NewNormal"/>
        <w:rPr>
          <w:rFonts w:cs="Arial"/>
          <w:lang w:val="en-AU"/>
        </w:rPr>
      </w:pPr>
      <w:r w:rsidRPr="00DB4472">
        <w:rPr>
          <w:rFonts w:cs="Arial"/>
          <w:lang w:val="en-AU"/>
        </w:rPr>
        <w:t xml:space="preserve">Not classified as Dangerous Goods by the </w:t>
      </w:r>
      <w:r w:rsidR="00176969">
        <w:rPr>
          <w:rFonts w:cs="Arial"/>
          <w:lang w:val="en-AU"/>
        </w:rPr>
        <w:t xml:space="preserve">criteria of the </w:t>
      </w:r>
      <w:r w:rsidR="00176969" w:rsidRPr="00176969">
        <w:rPr>
          <w:rFonts w:cs="Arial"/>
          <w:lang w:val="en-AU"/>
        </w:rPr>
        <w:t>"</w:t>
      </w:r>
      <w:r w:rsidRPr="00DB4472">
        <w:rPr>
          <w:rFonts w:cs="Arial"/>
          <w:lang w:val="en-AU"/>
        </w:rPr>
        <w:t>Australian Code for the Transport of</w:t>
      </w:r>
      <w:r w:rsidR="00176969">
        <w:rPr>
          <w:rFonts w:cs="Arial"/>
          <w:lang w:val="en-AU"/>
        </w:rPr>
        <w:t xml:space="preserve"> Dangerous Goods by Road &amp; Rail</w:t>
      </w:r>
      <w:r w:rsidR="00176969" w:rsidRPr="00176969">
        <w:rPr>
          <w:rFonts w:cs="Arial"/>
          <w:lang w:val="en-AU"/>
        </w:rPr>
        <w:t>"</w:t>
      </w:r>
      <w:r w:rsidRPr="00DB4472">
        <w:rPr>
          <w:rFonts w:cs="Arial"/>
          <w:lang w:val="en-AU"/>
        </w:rPr>
        <w:t xml:space="preserve"> and the </w:t>
      </w:r>
      <w:r w:rsidR="00176969" w:rsidRPr="00176969">
        <w:rPr>
          <w:rFonts w:cs="Arial"/>
          <w:lang w:val="en-AU"/>
        </w:rPr>
        <w:t>"</w:t>
      </w:r>
      <w:r w:rsidRPr="00DB4472">
        <w:rPr>
          <w:rFonts w:cs="Arial"/>
          <w:lang w:val="en-AU"/>
        </w:rPr>
        <w:t>New Zealand NZS5433: Trans</w:t>
      </w:r>
      <w:r w:rsidR="00176969">
        <w:rPr>
          <w:rFonts w:cs="Arial"/>
          <w:lang w:val="en-AU"/>
        </w:rPr>
        <w:t>port of Dangerous Goods on Land</w:t>
      </w:r>
      <w:r w:rsidR="00176969" w:rsidRPr="00176969">
        <w:rPr>
          <w:rFonts w:cs="Arial"/>
          <w:lang w:val="en-AU"/>
        </w:rPr>
        <w:t>"</w:t>
      </w:r>
      <w:r w:rsidRPr="00DB4472">
        <w:rPr>
          <w:rFonts w:cs="Arial"/>
          <w:lang w:val="en-AU"/>
        </w:rPr>
        <w:t>.</w:t>
      </w:r>
    </w:p>
    <w:p w:rsidR="00D13D81" w:rsidRDefault="00D13D81" w:rsidP="00D13D81">
      <w:pPr>
        <w:pStyle w:val="NewNormal"/>
        <w:tabs>
          <w:tab w:val="left" w:pos="975"/>
        </w:tabs>
        <w:rPr>
          <w:rFonts w:cs="Arial"/>
          <w:lang w:val="en-AU"/>
        </w:rPr>
      </w:pPr>
    </w:p>
    <w:p w:rsidR="00D13D81" w:rsidRDefault="00D13D81" w:rsidP="00D13D81">
      <w:pPr>
        <w:pStyle w:val="NewNormal"/>
        <w:tabs>
          <w:tab w:val="left" w:pos="975"/>
        </w:tabs>
        <w:rPr>
          <w:rFonts w:cs="Arial"/>
          <w:lang w:val="en-AU"/>
        </w:rPr>
      </w:pPr>
      <w:r w:rsidRPr="005D1B1F">
        <w:rPr>
          <w:rFonts w:cs="Arial"/>
          <w:lang w:val="en-AU"/>
        </w:rPr>
        <w:t xml:space="preserve">Classified as a </w:t>
      </w:r>
      <w:r>
        <w:rPr>
          <w:rFonts w:cs="Arial"/>
          <w:lang w:val="en-AU"/>
        </w:rPr>
        <w:t>C2</w:t>
      </w:r>
      <w:r w:rsidRPr="005D1B1F">
        <w:rPr>
          <w:rFonts w:cs="Arial"/>
          <w:lang w:val="en-AU"/>
        </w:rPr>
        <w:t xml:space="preserve"> (COMBUSTIBLE LIQUID) for the purpose of storage and handling, in accordance with the requirements of AS 1940.  Refer to State Regulations for stora</w:t>
      </w:r>
      <w:r>
        <w:rPr>
          <w:rFonts w:cs="Arial"/>
          <w:lang w:val="en-AU"/>
        </w:rPr>
        <w:t>ge and transport requirements.</w:t>
      </w:r>
    </w:p>
    <w:p w:rsidR="00533E02" w:rsidRDefault="00533E02" w:rsidP="005D1B1F">
      <w:pPr>
        <w:pStyle w:val="NewNormal"/>
        <w:tabs>
          <w:tab w:val="left" w:pos="975"/>
        </w:tabs>
        <w:rPr>
          <w:rFonts w:cs="Arial"/>
          <w:lang w:val="en-AU"/>
        </w:rPr>
      </w:pP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9835CB">
        <w:tc>
          <w:tcPr>
            <w:tcW w:w="6946" w:type="dxa"/>
          </w:tcPr>
          <w:p w:rsidR="009C232E" w:rsidRDefault="009C232E" w:rsidP="00B06937">
            <w:pPr>
              <w:pStyle w:val="NewNormal"/>
              <w:rPr>
                <w:rFonts w:cs="Arial"/>
                <w:lang w:val="en-AU"/>
              </w:rPr>
            </w:pPr>
            <w:r>
              <w:rPr>
                <w:rFonts w:cs="Arial"/>
                <w:lang w:val="en-AU"/>
              </w:rPr>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9835CB">
        <w:tc>
          <w:tcPr>
            <w:tcW w:w="6946" w:type="dxa"/>
          </w:tcPr>
          <w:p w:rsidR="000A640B" w:rsidRDefault="00EE07A5" w:rsidP="007776FB">
            <w:pPr>
              <w:pStyle w:val="NewNormal"/>
              <w:rPr>
                <w:rFonts w:cs="Arial"/>
                <w:lang w:val="en-AU"/>
              </w:rPr>
            </w:pPr>
            <w:r>
              <w:rPr>
                <w:rFonts w:cs="Arial"/>
                <w:lang w:val="en-AU"/>
              </w:rPr>
              <w:t>Ingredients determined to be Non-Hazardous</w:t>
            </w:r>
          </w:p>
        </w:tc>
        <w:tc>
          <w:tcPr>
            <w:tcW w:w="1560" w:type="dxa"/>
          </w:tcPr>
          <w:p w:rsidR="009835CB" w:rsidRDefault="009835CB">
            <w:pPr>
              <w:pStyle w:val="NewNormal"/>
              <w:rPr>
                <w:rFonts w:cs="Arial"/>
                <w:lang w:val="en-AU"/>
              </w:rPr>
            </w:pPr>
          </w:p>
        </w:tc>
        <w:tc>
          <w:tcPr>
            <w:tcW w:w="1842" w:type="dxa"/>
          </w:tcPr>
          <w:p w:rsidR="000A640B" w:rsidRDefault="00EE07A5" w:rsidP="003C69E2">
            <w:pPr>
              <w:pStyle w:val="NewNormal"/>
              <w:jc w:val="right"/>
              <w:rPr>
                <w:rFonts w:cs="Arial"/>
                <w:lang w:val="en-AU"/>
              </w:rPr>
            </w:pPr>
            <w:r>
              <w:rPr>
                <w:rFonts w:cs="Arial"/>
                <w:lang w:val="en-AU"/>
              </w:rPr>
              <w:t>100</w:t>
            </w:r>
            <w:r w:rsidR="000A640B">
              <w:rPr>
                <w:rFonts w:cs="Arial"/>
                <w:lang w:val="en-AU"/>
              </w:rPr>
              <w:t xml:space="preserve"> </w:t>
            </w:r>
            <w:r>
              <w:rPr>
                <w:rFonts w:cs="Arial"/>
                <w:lang w:val="en-AU"/>
              </w:rPr>
              <w:t>%</w:t>
            </w:r>
          </w:p>
        </w:tc>
      </w:tr>
    </w:tbl>
    <w:p w:rsidR="009C232E" w:rsidRDefault="009C232E"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t>If poisoning occurs, contact a doctor or Poisons Information Centre (Phone Australia 131 126, New Zealand 0800 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Seek medical advice if effects persist.</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sidR="003A15E6" w:rsidRPr="00C57F6F">
        <w:rPr>
          <w:rFonts w:cs="Arial"/>
          <w:lang w:val="en-AU"/>
        </w:rPr>
        <w:t>If skin or hair contact occurs, remove contaminated clothing and flush skin and hair with running water.  If swelling, redness, blistering or irritation occurs seek medical assistance.</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sidRPr="00DD16EF">
        <w:rPr>
          <w:rFonts w:cs="Arial"/>
          <w:lang w:val="en-AU"/>
        </w:rPr>
        <w:t xml:space="preserve">If in eyes wash out immediately with water. In all cases of eye contamination it is a sensible </w:t>
      </w:r>
      <w:r w:rsidRPr="00DD16EF">
        <w:rPr>
          <w:rFonts w:cs="Arial"/>
          <w:lang w:val="en-AU"/>
        </w:rPr>
        <w:lastRenderedPageBreak/>
        <w:t>precaution to seek medical advice.</w:t>
      </w:r>
      <w:r w:rsidR="00D04930">
        <w:rPr>
          <w:rFonts w:cs="Arial"/>
          <w:lang w:val="en-AU"/>
        </w:rPr>
        <w:t xml:space="preserv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Rinse mouth with water.</w:t>
      </w:r>
      <w:r w:rsidR="00D04930">
        <w:rPr>
          <w:rFonts w:cs="Arial"/>
          <w:lang w:val="en-AU"/>
        </w:rPr>
        <w:t xml:space="preserve">  </w:t>
      </w:r>
      <w:r w:rsidR="001713BA" w:rsidRPr="001713BA">
        <w:rPr>
          <w:rFonts w:cs="Arial"/>
          <w:lang w:val="en-AU"/>
        </w:rPr>
        <w:t>If swallowed, do NOT induce vomiting.  Give a glass of water to drink.  Never give anything by the mouth to an unconscious patient.  If vomiting occurs give further water.</w:t>
      </w:r>
      <w:r w:rsidR="00D04930">
        <w:rPr>
          <w:rFonts w:cs="Arial"/>
          <w:lang w:val="en-AU"/>
        </w:rPr>
        <w:t xml:space="preserve">  </w:t>
      </w:r>
      <w:r w:rsidR="001713BA" w:rsidRPr="001713BA">
        <w:rPr>
          <w:rFonts w:cs="Arial"/>
          <w:lang w:val="en-AU"/>
        </w:rPr>
        <w:t>Seek medical advice.</w:t>
      </w:r>
      <w:r w:rsidR="00D04930">
        <w:rPr>
          <w:rFonts w:cs="Arial"/>
          <w:lang w:val="en-AU"/>
        </w:rPr>
        <w:t xml:space="preserve">  </w:t>
      </w:r>
    </w:p>
    <w:p w:rsidR="00F74BB7" w:rsidRDefault="00F74BB7" w:rsidP="00B06937">
      <w:pPr>
        <w:pStyle w:val="NewNormal"/>
        <w:rPr>
          <w:rFonts w:cs="Arial"/>
          <w:lang w:val="en-AU"/>
        </w:rPr>
      </w:pPr>
    </w:p>
    <w:p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Pr="00F74BB7">
        <w:rPr>
          <w:rFonts w:cs="Arial"/>
          <w:lang w:val="en-AU"/>
        </w:rPr>
        <w:t>Treat symptomatically.</w:t>
      </w:r>
      <w:r w:rsidR="00845DF0">
        <w:rPr>
          <w:rFonts w:cs="Arial"/>
          <w:lang w:val="en-AU"/>
        </w:rPr>
        <w:t xml:space="preserve">  </w:t>
      </w:r>
    </w:p>
    <w:p w:rsidR="007F1A25" w:rsidRPr="00F74BB7" w:rsidRDefault="007F1A25"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sidRPr="008A7E10">
        <w:rPr>
          <w:rFonts w:cs="Arial"/>
          <w:lang w:val="en-AU"/>
        </w:rPr>
        <w:t>Not applicable.</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t xml:space="preserve">Suitable extinguishing media: </w:t>
      </w:r>
      <w:r w:rsidR="00190BB9" w:rsidRPr="00190BB9">
        <w:rPr>
          <w:rFonts w:cs="Arial"/>
          <w:lang w:val="en-AU"/>
        </w:rPr>
        <w:t>If material is involved in a fire use water fog (or if unavailable fine water spray), alcohol resistant foam, standard foam, dry agent (carbon dioxide, dry chemical powder).</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C77F7F" w:rsidRPr="00C77F7F">
        <w:rPr>
          <w:rFonts w:cs="Arial"/>
          <w:lang w:val="en-AU"/>
        </w:rPr>
        <w:t>Combustible liquid.</w:t>
      </w:r>
      <w:r w:rsidR="00845DF0">
        <w:rPr>
          <w:rFonts w:cs="Arial"/>
          <w:lang w:val="en-AU"/>
        </w:rPr>
        <w:t xml:space="preserve">  </w:t>
      </w:r>
    </w:p>
    <w:p w:rsidR="00D34BB0" w:rsidRDefault="00D34BB0" w:rsidP="00B06937">
      <w:pPr>
        <w:pStyle w:val="NewNormal"/>
        <w:rPr>
          <w:rFonts w:cs="Arial"/>
          <w:lang w:val="en-AU"/>
        </w:rPr>
      </w:pPr>
    </w:p>
    <w:p w:rsidR="00D809A8" w:rsidRPr="000555DF" w:rsidRDefault="00E31E8F" w:rsidP="00845DF0">
      <w:pPr>
        <w:pStyle w:val="NewNormal"/>
        <w:tabs>
          <w:tab w:val="left" w:pos="3195"/>
        </w:tabs>
        <w:rPr>
          <w:rFonts w:cs="Arial"/>
          <w:highlight w:val="yellow"/>
          <w:lang w:val="en-AU"/>
        </w:rPr>
      </w:pPr>
      <w:r>
        <w:rPr>
          <w:rFonts w:cs="Arial"/>
          <w:b/>
          <w:lang w:val="en-AU"/>
        </w:rPr>
        <w:t xml:space="preserve">Fire fighting further advice: </w:t>
      </w:r>
      <w:r w:rsidR="00E04361" w:rsidRPr="00E04361">
        <w:rPr>
          <w:rFonts w:cs="Arial"/>
          <w:lang w:val="en-AU"/>
        </w:rPr>
        <w:t>On burning or decomposing may emit toxic fumes.  Fire fighters to wear self-contained breathing apparatus and suitable protective clothing if risk of exposure to vapour or products of combustion or decomposition.</w:t>
      </w:r>
      <w:r w:rsidR="00845DF0">
        <w:rPr>
          <w:rFonts w:cs="Arial"/>
          <w:lang w:val="en-AU"/>
        </w:rPr>
        <w:t xml:space="preserve">  </w:t>
      </w:r>
    </w:p>
    <w:p w:rsidR="00D809A8" w:rsidRDefault="00D809A8"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t>SMALL SPILLS</w:t>
      </w:r>
    </w:p>
    <w:p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t>LARGE SPILLS</w:t>
      </w:r>
    </w:p>
    <w:p w:rsidR="00D869D8" w:rsidRDefault="00170121" w:rsidP="00B06937">
      <w:pPr>
        <w:pStyle w:val="NewNormal"/>
        <w:rPr>
          <w:rFonts w:cs="Arial"/>
          <w:lang w:val="en-AU"/>
        </w:rPr>
      </w:pPr>
      <w:r w:rsidRPr="00170121">
        <w:rPr>
          <w:rFonts w:cs="Arial"/>
          <w:lang w:val="en-AU"/>
        </w:rPr>
        <w:t>Clear area of all unprotected personnel.</w:t>
      </w:r>
      <w:r w:rsidR="00845DF0">
        <w:rPr>
          <w:rFonts w:cs="Arial"/>
          <w:lang w:val="en-AU"/>
        </w:rPr>
        <w:t xml:space="preserve">  </w:t>
      </w:r>
      <w:r w:rsidR="0006405A" w:rsidRPr="0006405A">
        <w:rPr>
          <w:rFonts w:cs="Arial"/>
          <w:lang w:val="en-AU"/>
        </w:rPr>
        <w:t>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r w:rsidR="00B10B0E">
        <w:rPr>
          <w:rFonts w:cs="Arial"/>
          <w:lang w:val="en-AU"/>
        </w:rPr>
        <w:t xml:space="preserve">  </w:t>
      </w:r>
    </w:p>
    <w:p w:rsidR="00170121" w:rsidRDefault="00170121" w:rsidP="00B06937">
      <w:pPr>
        <w:pStyle w:val="NewNormal"/>
        <w:rPr>
          <w:rFonts w:cs="Arial"/>
          <w:lang w:val="en-AU"/>
        </w:rPr>
      </w:pPr>
    </w:p>
    <w:p w:rsidR="00170121" w:rsidRDefault="00170121" w:rsidP="00B06937">
      <w:pPr>
        <w:pStyle w:val="NewNormal"/>
        <w:rPr>
          <w:rFonts w:cs="Arial"/>
          <w:lang w:val="en-AU"/>
        </w:rPr>
      </w:pPr>
      <w:r w:rsidRPr="00170121">
        <w:rPr>
          <w:rFonts w:cs="Arial"/>
          <w:b/>
          <w:lang w:val="en-AU"/>
        </w:rPr>
        <w:t xml:space="preserve">Dangerous Goods </w:t>
      </w:r>
      <w:r w:rsidR="00843BBD">
        <w:rPr>
          <w:rFonts w:cs="Arial"/>
          <w:b/>
          <w:lang w:val="en-AU"/>
        </w:rPr>
        <w:t>-</w:t>
      </w:r>
      <w:r w:rsidRPr="00170121">
        <w:rPr>
          <w:rFonts w:cs="Arial"/>
          <w:b/>
          <w:lang w:val="en-AU"/>
        </w:rPr>
        <w:t xml:space="preserve"> Initial Emergency Response Guide No:</w:t>
      </w:r>
      <w:r>
        <w:rPr>
          <w:rFonts w:cs="Arial"/>
          <w:lang w:val="en-AU"/>
        </w:rPr>
        <w:t xml:space="preserve"> </w:t>
      </w:r>
      <w:r w:rsidR="00215A02">
        <w:rPr>
          <w:rFonts w:cs="Arial"/>
          <w:lang w:val="en-AU"/>
        </w:rPr>
        <w:t>Not applicable</w:t>
      </w:r>
      <w:r w:rsidR="005830F9">
        <w:rPr>
          <w:rFonts w:cs="Arial"/>
          <w:lang w:val="en-AU"/>
        </w:rPr>
        <w:t xml:space="preserve">  </w:t>
      </w:r>
    </w:p>
    <w:p w:rsidR="00E31E8F" w:rsidRDefault="00E31E8F"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sidR="00BD25E4">
        <w:rPr>
          <w:rFonts w:cs="Arial"/>
          <w:lang w:val="en-AU"/>
        </w:rPr>
        <w:t xml:space="preserve">Avoid eye contact </w:t>
      </w:r>
      <w:r w:rsidR="00BD25E4" w:rsidRPr="00BD25E4">
        <w:rPr>
          <w:rFonts w:cs="Arial"/>
          <w:lang w:val="en-AU"/>
        </w:rPr>
        <w:t>and repeated or prolonged skin contact.</w:t>
      </w:r>
      <w:r w:rsidR="00E31E8F">
        <w:rPr>
          <w:rFonts w:cs="Arial"/>
          <w:lang w:val="en-AU"/>
        </w:rPr>
        <w:t xml:space="preserve">  </w:t>
      </w:r>
      <w:r w:rsidR="009347F1" w:rsidRPr="009347F1">
        <w:rPr>
          <w:rFonts w:cs="Arial"/>
          <w:lang w:val="en-AU"/>
        </w:rPr>
        <w:t>Avoid inhalation of</w:t>
      </w:r>
      <w:r w:rsidR="009347F1">
        <w:rPr>
          <w:rFonts w:cs="Arial"/>
          <w:lang w:val="en-AU"/>
        </w:rPr>
        <w:t xml:space="preserve"> </w:t>
      </w:r>
      <w:r w:rsidR="009347F1" w:rsidRPr="009347F1">
        <w:rPr>
          <w:rFonts w:cs="Arial"/>
          <w:lang w:val="en-AU"/>
        </w:rPr>
        <w:t>vapour, mist or aerosols.</w:t>
      </w:r>
      <w:r w:rsidR="00E31E8F">
        <w:rPr>
          <w:rFonts w:cs="Arial"/>
          <w:lang w:val="en-AU"/>
        </w:rPr>
        <w:t xml:space="preserve">  </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Store in a cool, dry, well-ventilated place and out of direct sunlight.  Store away from foodstuffs.  Store away from incompatible materials described in Section 10.  Store away from sources of heat and/or ignition.</w:t>
      </w:r>
      <w:r w:rsidR="00643556">
        <w:rPr>
          <w:rFonts w:cs="Arial"/>
          <w:lang w:val="en-AU"/>
        </w:rPr>
        <w:t xml:space="preserve">  </w:t>
      </w:r>
      <w:r w:rsidR="00C55E75" w:rsidRPr="00C55E75">
        <w:rPr>
          <w:rFonts w:cs="Arial"/>
          <w:lang w:val="en-AU"/>
        </w:rPr>
        <w:t>Keep container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p>
    <w:p w:rsidR="009F2D33" w:rsidRDefault="009F2D33" w:rsidP="00B06937">
      <w:pPr>
        <w:pStyle w:val="NewNormal"/>
        <w:rPr>
          <w:rFonts w:cs="Arial"/>
          <w:lang w:val="en-AU"/>
        </w:rPr>
      </w:pPr>
    </w:p>
    <w:p w:rsidR="009347F1" w:rsidRDefault="009347F1" w:rsidP="00B06937">
      <w:pPr>
        <w:pStyle w:val="NewNormal"/>
        <w:rPr>
          <w:rFonts w:cs="Arial"/>
          <w:lang w:val="en-AU"/>
        </w:rPr>
      </w:pPr>
      <w:r w:rsidRPr="009347F1">
        <w:rPr>
          <w:rFonts w:cs="Arial"/>
          <w:lang w:val="en-AU"/>
        </w:rPr>
        <w:t xml:space="preserve">Classified as a </w:t>
      </w:r>
      <w:r>
        <w:rPr>
          <w:rFonts w:cs="Arial"/>
          <w:lang w:val="en-AU"/>
        </w:rPr>
        <w:t>C2</w:t>
      </w:r>
      <w:r w:rsidRPr="009347F1">
        <w:rPr>
          <w:rFonts w:cs="Arial"/>
          <w:lang w:val="en-AU"/>
        </w:rPr>
        <w:t xml:space="preserve"> (COMBUSTIBLE LIQUID) for the purpose of storage and handling, in accordance with the requirements of AS 1940.  Refer to State Regulations for storage and transport requirements.</w:t>
      </w:r>
    </w:p>
    <w:p w:rsidR="00DE1A8E" w:rsidRDefault="00DE1A8E" w:rsidP="00E0533F">
      <w:pPr>
        <w:pStyle w:val="NewNormal"/>
        <w:tabs>
          <w:tab w:val="left" w:pos="3420"/>
        </w:tabs>
        <w:rPr>
          <w:rFonts w:cs="Arial"/>
          <w:lang w:val="en-AU"/>
        </w:rPr>
      </w:pP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3D0EB6" w:rsidRPr="003D0EB6" w:rsidRDefault="003D0EB6" w:rsidP="003D0EB6">
      <w:pPr>
        <w:pStyle w:val="NewNormal"/>
        <w:tabs>
          <w:tab w:val="left" w:pos="945"/>
        </w:tabs>
        <w:rPr>
          <w:rFonts w:cs="Arial"/>
          <w:lang w:val="en-AU"/>
        </w:rPr>
      </w:pPr>
      <w:r w:rsidRPr="00434788">
        <w:rPr>
          <w:rFonts w:cs="Arial"/>
          <w:b/>
          <w:lang w:val="en-AU"/>
        </w:rPr>
        <w:t>National occupational exposure limits:</w:t>
      </w:r>
      <w:r>
        <w:rPr>
          <w:rFonts w:cs="Arial"/>
          <w:b/>
          <w:lang w:val="en-AU"/>
        </w:rPr>
        <w:t xml:space="preserve"> </w:t>
      </w:r>
      <w:r w:rsidRPr="003D0EB6">
        <w:rPr>
          <w:rFonts w:cs="Arial"/>
          <w:lang w:val="en-AU"/>
        </w:rPr>
        <w:t>No value assigned for this specific material by Safe Work Australia.</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National Model Regulations for the Control of Workplace Hazardous 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Pr="003D0EB6" w:rsidRDefault="000A692F" w:rsidP="000A692F">
      <w:pPr>
        <w:pStyle w:val="NewNormal"/>
        <w:tabs>
          <w:tab w:val="left" w:pos="945"/>
        </w:tabs>
        <w:rPr>
          <w:rFonts w:cs="Arial"/>
          <w:lang w:val="en-AU"/>
        </w:rPr>
      </w:pPr>
      <w:r w:rsidRPr="00434788">
        <w:rPr>
          <w:rFonts w:cs="Arial"/>
          <w:b/>
          <w:lang w:val="en-AU"/>
        </w:rPr>
        <w:t>National occupational exposure limits:</w:t>
      </w:r>
      <w:r>
        <w:rPr>
          <w:rFonts w:cs="Arial"/>
          <w:b/>
          <w:lang w:val="en-AU"/>
        </w:rPr>
        <w:t xml:space="preserve"> </w:t>
      </w:r>
      <w:r w:rsidRPr="000A692F">
        <w:rPr>
          <w:rFonts w:cs="Arial"/>
          <w:lang w:val="en-AU"/>
        </w:rPr>
        <w:t>Natural ventilation should be adequa</w:t>
      </w:r>
      <w:r w:rsidR="00836A30">
        <w:rPr>
          <w:rFonts w:cs="Arial"/>
          <w:lang w:val="en-AU"/>
        </w:rPr>
        <w:t>te under normal use conditions.</w:t>
      </w:r>
      <w:r>
        <w:rPr>
          <w:rFonts w:cs="Arial"/>
          <w:lang w:val="en-AU"/>
        </w:rPr>
        <w:t xml:space="preserve">  </w:t>
      </w:r>
    </w:p>
    <w:p w:rsidR="00434788" w:rsidRPr="00434788" w:rsidRDefault="00434788" w:rsidP="002738BF">
      <w:pPr>
        <w:pStyle w:val="NewNormal"/>
        <w:tabs>
          <w:tab w:val="left" w:pos="945"/>
        </w:tabs>
        <w:rPr>
          <w:rFonts w:cs="Arial"/>
          <w:lang w:val="en-AU"/>
        </w:rPr>
      </w:pPr>
    </w:p>
    <w:p w:rsidR="00EC1436" w:rsidRDefault="001E7B81" w:rsidP="001E7B81">
      <w:pPr>
        <w:pStyle w:val="NewNormal"/>
        <w:rPr>
          <w:rFonts w:cs="Arial"/>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SAFETY SHOES, OVERALLS, GLOVES, SAFETY GLASSES</w:t>
      </w:r>
      <w:r w:rsidR="00264347">
        <w:rPr>
          <w:rFonts w:cs="Arial"/>
          <w:lang w:val="en-AU"/>
        </w:rPr>
        <w:t>.</w:t>
      </w:r>
    </w:p>
    <w:p w:rsidR="00E63F8A" w:rsidRDefault="00E63F8A" w:rsidP="00E63F8A">
      <w:pPr>
        <w:pStyle w:val="NewNormal"/>
        <w:rPr>
          <w:rFonts w:cs="Arial"/>
          <w:lang w:val="en-AU"/>
        </w:rPr>
      </w:pPr>
      <w:r w:rsidRPr="00E63F8A">
        <w:rPr>
          <w:rFonts w:cs="Arial"/>
          <w:lang w:val="en-AU"/>
        </w:rPr>
        <w:t>Personal protective equipment (PPE) must be suitable for the nature of the work and any hazard associated with the work as identified by t</w:t>
      </w:r>
      <w:r>
        <w:rPr>
          <w:rFonts w:cs="Arial"/>
          <w:lang w:val="en-AU"/>
        </w:rPr>
        <w:t>he risk assessment conducted.</w:t>
      </w:r>
    </w:p>
    <w:p w:rsidR="00E63F8A" w:rsidRDefault="00E63F8A" w:rsidP="00CA4BE2">
      <w:pPr>
        <w:pStyle w:val="NewNormal"/>
        <w:rPr>
          <w:rFonts w:cs="Arial"/>
          <w:lang w:val="en-AU"/>
        </w:rPr>
      </w:pPr>
    </w:p>
    <w:p w:rsidR="00CA4BE2" w:rsidRDefault="00CA4BE2" w:rsidP="00CA4BE2">
      <w:pPr>
        <w:pStyle w:val="NewNormal"/>
        <w:rPr>
          <w:rFonts w:cs="Arial"/>
          <w:lang w:val="en-AU"/>
        </w:rPr>
      </w:pPr>
      <w:r>
        <w:rPr>
          <w:rFonts w:cs="Arial"/>
          <w:lang w:val="en-AU"/>
        </w:rPr>
        <w:t xml:space="preserve">Wear </w:t>
      </w:r>
      <w:r w:rsidR="00EE07A5">
        <w:t>safety shoes, overalls, gloves, safety glasses</w:t>
      </w:r>
      <w:r>
        <w:rPr>
          <w:rFonts w:cs="Arial"/>
          <w:lang w:val="en-AU"/>
        </w:rPr>
        <w:t>.</w:t>
      </w:r>
      <w:r w:rsidR="009F62D4">
        <w:rPr>
          <w:rFonts w:cs="Arial"/>
          <w:lang w:val="en-AU"/>
        </w:rPr>
        <w:t xml:space="preserve">  </w:t>
      </w:r>
      <w:r w:rsidR="002652D8" w:rsidRPr="008028B1">
        <w:rPr>
          <w:rFonts w:cs="Arial"/>
          <w:lang w:val="en-AU"/>
        </w:rPr>
        <w:t xml:space="preserve">Available information suggests that gloves made from </w:t>
      </w:r>
      <w:r w:rsidR="00EE07A5">
        <w:rPr>
          <w:rFonts w:cs="Arial"/>
          <w:lang w:val="en-AU"/>
        </w:rPr>
        <w:t>nitrile rubber</w:t>
      </w:r>
      <w:r w:rsidR="002652D8">
        <w:rPr>
          <w:rFonts w:cs="Arial"/>
          <w:lang w:val="en-AU"/>
        </w:rPr>
        <w:t xml:space="preserve"> </w:t>
      </w:r>
      <w:r w:rsidR="002652D8"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Keep away from food, drink and animal feeding stuffs.  When using do not eat, drink or smoke.  Wash hands prior to eating, drinking or smoking.  Avoid contact with clothing.  Avoid eye contact and</w:t>
      </w:r>
      <w:r>
        <w:rPr>
          <w:rFonts w:cs="Arial"/>
          <w:lang w:val="en-AU"/>
        </w:rPr>
        <w:t xml:space="preserve"> </w:t>
      </w:r>
      <w:r w:rsidRPr="00397E04">
        <w:rPr>
          <w:rFonts w:cs="Arial"/>
          <w:lang w:val="en-AU"/>
        </w:rPr>
        <w:t>repeated or prolonged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rsidR="00397E04" w:rsidRDefault="00397E04" w:rsidP="00397E04">
      <w:pPr>
        <w:pStyle w:val="NewNormal"/>
        <w:tabs>
          <w:tab w:val="left" w:pos="7635"/>
        </w:tabs>
        <w:rPr>
          <w:rFonts w:cs="Arial"/>
          <w:lang w:val="en-AU"/>
        </w:rPr>
      </w:pPr>
    </w:p>
    <w:p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9835CB">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EE07A5" w:rsidP="00983E9A">
            <w:pPr>
              <w:pStyle w:val="NewNormal"/>
              <w:rPr>
                <w:rFonts w:cs="Arial"/>
                <w:lang w:val="en-AU"/>
              </w:rPr>
            </w:pPr>
            <w:r>
              <w:rPr>
                <w:rFonts w:cs="Arial"/>
                <w:lang w:val="en-AU"/>
              </w:rPr>
              <w:t>Liquid</w:t>
            </w:r>
          </w:p>
        </w:tc>
      </w:tr>
      <w:tr w:rsidR="009835CB">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EE07A5" w:rsidP="00983E9A">
            <w:pPr>
              <w:pStyle w:val="NewNormal"/>
              <w:rPr>
                <w:rFonts w:cs="Arial"/>
                <w:lang w:val="en-AU"/>
              </w:rPr>
            </w:pPr>
            <w:r>
              <w:rPr>
                <w:rFonts w:cs="Arial"/>
                <w:lang w:val="en-AU"/>
              </w:rPr>
              <w:t>N Av</w:t>
            </w:r>
          </w:p>
        </w:tc>
      </w:tr>
      <w:tr w:rsidR="009835CB">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EE07A5" w:rsidP="00983E9A">
            <w:pPr>
              <w:pStyle w:val="NewNormal"/>
              <w:rPr>
                <w:rFonts w:cs="Arial"/>
                <w:lang w:val="en-AU"/>
              </w:rPr>
            </w:pPr>
            <w:r>
              <w:rPr>
                <w:rFonts w:cs="Arial"/>
                <w:lang w:val="en-AU"/>
              </w:rPr>
              <w:t>Characterisitc</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9835CB">
        <w:tc>
          <w:tcPr>
            <w:tcW w:w="3936" w:type="dxa"/>
          </w:tcPr>
          <w:p w:rsidR="00BE786E" w:rsidRPr="00BE786E" w:rsidRDefault="00BE786E" w:rsidP="00446760">
            <w:pPr>
              <w:pStyle w:val="NewNormal"/>
              <w:rPr>
                <w:rFonts w:cs="Arial"/>
                <w:lang w:val="en-AU"/>
              </w:rPr>
            </w:pPr>
            <w:r w:rsidRPr="00BE786E">
              <w:rPr>
                <w:rFonts w:cs="Arial"/>
                <w:b/>
                <w:lang w:val="en-AU"/>
              </w:rPr>
              <w:t>Solubility:</w:t>
            </w:r>
          </w:p>
        </w:tc>
        <w:tc>
          <w:tcPr>
            <w:tcW w:w="5306" w:type="dxa"/>
          </w:tcPr>
          <w:p w:rsidR="00BE786E" w:rsidRPr="00BE786E" w:rsidRDefault="00EE07A5" w:rsidP="00446760">
            <w:pPr>
              <w:pStyle w:val="NewNormal"/>
              <w:rPr>
                <w:rFonts w:cs="Arial"/>
                <w:lang w:val="en-AU"/>
              </w:rPr>
            </w:pPr>
            <w:r>
              <w:rPr>
                <w:rFonts w:cs="Arial"/>
                <w:lang w:val="en-AU"/>
              </w:rPr>
              <w:t>N Av</w:t>
            </w:r>
          </w:p>
        </w:tc>
      </w:tr>
      <w:tr w:rsidR="009835CB">
        <w:tc>
          <w:tcPr>
            <w:tcW w:w="3936" w:type="dxa"/>
          </w:tcPr>
          <w:p w:rsidR="00BE786E" w:rsidRPr="00BE786E" w:rsidRDefault="00BE786E" w:rsidP="00446760">
            <w:pPr>
              <w:pStyle w:val="NewNormal"/>
              <w:rPr>
                <w:rFonts w:cs="Arial"/>
                <w:lang w:val="en-AU"/>
              </w:rPr>
            </w:pPr>
            <w:r w:rsidRPr="00BE786E">
              <w:rPr>
                <w:rFonts w:cs="Arial"/>
                <w:b/>
                <w:lang w:val="en-AU"/>
              </w:rPr>
              <w:t>Specific Gravity (20 °C):</w:t>
            </w:r>
          </w:p>
        </w:tc>
        <w:tc>
          <w:tcPr>
            <w:tcW w:w="5306" w:type="dxa"/>
          </w:tcPr>
          <w:p w:rsidR="00BE786E" w:rsidRPr="00BE786E" w:rsidRDefault="00EE07A5" w:rsidP="00446760">
            <w:pPr>
              <w:pStyle w:val="NewNormal"/>
              <w:rPr>
                <w:rFonts w:cs="Arial"/>
                <w:lang w:val="en-AU"/>
              </w:rPr>
            </w:pPr>
            <w:r>
              <w:rPr>
                <w:rFonts w:cs="Arial"/>
                <w:lang w:val="en-AU"/>
              </w:rPr>
              <w:t>N Av</w:t>
            </w:r>
          </w:p>
        </w:tc>
      </w:tr>
      <w:tr w:rsidR="009835CB">
        <w:tc>
          <w:tcPr>
            <w:tcW w:w="3936" w:type="dxa"/>
          </w:tcPr>
          <w:p w:rsidR="00BE786E" w:rsidRPr="00BE786E" w:rsidRDefault="00BE786E" w:rsidP="00446760">
            <w:pPr>
              <w:pStyle w:val="NewNormal"/>
              <w:rPr>
                <w:rFonts w:cs="Arial"/>
                <w:b/>
                <w:lang w:val="en-AU"/>
              </w:rPr>
            </w:pPr>
            <w:r w:rsidRPr="00BE786E">
              <w:rPr>
                <w:rFonts w:cs="Arial"/>
                <w:b/>
                <w:lang w:val="en-AU"/>
              </w:rPr>
              <w:t>Density:</w:t>
            </w:r>
          </w:p>
        </w:tc>
        <w:tc>
          <w:tcPr>
            <w:tcW w:w="5306" w:type="dxa"/>
          </w:tcPr>
          <w:p w:rsidR="00BE786E" w:rsidRPr="00BE786E" w:rsidRDefault="00EE07A5" w:rsidP="00446760">
            <w:pPr>
              <w:pStyle w:val="NewNormal"/>
              <w:rPr>
                <w:rFonts w:cs="Arial"/>
                <w:lang w:val="en-AU"/>
              </w:rPr>
            </w:pPr>
            <w:r>
              <w:rPr>
                <w:rFonts w:cs="Arial"/>
                <w:lang w:val="en-AU"/>
              </w:rPr>
              <w:t>0.8400 g/mL @ 15°C</w:t>
            </w:r>
          </w:p>
        </w:tc>
      </w:tr>
      <w:tr w:rsidR="009835CB">
        <w:tc>
          <w:tcPr>
            <w:tcW w:w="3936" w:type="dxa"/>
          </w:tcPr>
          <w:p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rsidR="00BE786E" w:rsidRPr="00BE786E" w:rsidRDefault="00EE07A5" w:rsidP="00446760">
            <w:pPr>
              <w:pStyle w:val="NewNormal"/>
              <w:rPr>
                <w:rFonts w:cs="Arial"/>
                <w:lang w:val="en-AU"/>
              </w:rPr>
            </w:pPr>
            <w:r>
              <w:rPr>
                <w:rFonts w:cs="Arial"/>
                <w:lang w:val="en-AU"/>
              </w:rPr>
              <w:t>N Av</w:t>
            </w:r>
          </w:p>
        </w:tc>
      </w:tr>
      <w:tr w:rsidR="009835CB">
        <w:tc>
          <w:tcPr>
            <w:tcW w:w="3936" w:type="dxa"/>
          </w:tcPr>
          <w:p w:rsidR="00D42363" w:rsidRPr="00D42363" w:rsidRDefault="00D42363" w:rsidP="00446760">
            <w:pPr>
              <w:pStyle w:val="NewNormal"/>
              <w:rPr>
                <w:rFonts w:cs="Arial"/>
                <w:lang w:val="en-AU"/>
              </w:rPr>
            </w:pPr>
            <w:r w:rsidRPr="00D42363">
              <w:rPr>
                <w:rFonts w:cs="Arial"/>
                <w:b/>
                <w:lang w:val="en-AU"/>
              </w:rPr>
              <w:t>Vapour Pressure (20 °C):</w:t>
            </w:r>
          </w:p>
        </w:tc>
        <w:tc>
          <w:tcPr>
            <w:tcW w:w="5306" w:type="dxa"/>
          </w:tcPr>
          <w:p w:rsidR="00D42363" w:rsidRPr="00D42363" w:rsidRDefault="00EE07A5" w:rsidP="00446760">
            <w:pPr>
              <w:pStyle w:val="NewNormal"/>
              <w:rPr>
                <w:rFonts w:cs="Arial"/>
                <w:lang w:val="en-AU"/>
              </w:rPr>
            </w:pPr>
            <w:r>
              <w:rPr>
                <w:rFonts w:cs="Arial"/>
                <w:lang w:val="en-AU"/>
              </w:rPr>
              <w:t>N Av</w:t>
            </w:r>
          </w:p>
        </w:tc>
      </w:tr>
      <w:tr w:rsidR="009835CB">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EE07A5" w:rsidP="00446760">
            <w:pPr>
              <w:pStyle w:val="NewNormal"/>
              <w:rPr>
                <w:rFonts w:cs="Arial"/>
                <w:lang w:val="en-AU"/>
              </w:rPr>
            </w:pPr>
            <w:r>
              <w:rPr>
                <w:rFonts w:cs="Arial"/>
                <w:lang w:val="en-AU"/>
              </w:rPr>
              <w:t>&gt; 210</w:t>
            </w:r>
          </w:p>
        </w:tc>
      </w:tr>
      <w:tr w:rsidR="009835CB">
        <w:tc>
          <w:tcPr>
            <w:tcW w:w="3936" w:type="dxa"/>
          </w:tcPr>
          <w:p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rsidR="003D0D60" w:rsidRDefault="00EE07A5" w:rsidP="003D0D60">
            <w:pPr>
              <w:pStyle w:val="NewNormal"/>
              <w:rPr>
                <w:rFonts w:cs="Arial"/>
                <w:lang w:val="en-AU"/>
              </w:rPr>
            </w:pPr>
            <w:r>
              <w:rPr>
                <w:rFonts w:cs="Arial"/>
                <w:lang w:val="en-AU"/>
              </w:rPr>
              <w:t>N Av</w:t>
            </w:r>
          </w:p>
        </w:tc>
      </w:tr>
      <w:tr w:rsidR="009835CB">
        <w:tc>
          <w:tcPr>
            <w:tcW w:w="3936" w:type="dxa"/>
          </w:tcPr>
          <w:p w:rsidR="00D42363" w:rsidRPr="00D42363" w:rsidRDefault="00D42363" w:rsidP="00446760">
            <w:pPr>
              <w:pStyle w:val="NewNormal"/>
              <w:rPr>
                <w:rFonts w:cs="Arial"/>
                <w:lang w:val="en-AU"/>
              </w:rPr>
            </w:pPr>
            <w:r w:rsidRPr="00D42363">
              <w:rPr>
                <w:rFonts w:cs="Arial"/>
                <w:b/>
                <w:lang w:val="en-AU"/>
              </w:rPr>
              <w:t>Autoignition Temperature (°C):</w:t>
            </w:r>
          </w:p>
        </w:tc>
        <w:tc>
          <w:tcPr>
            <w:tcW w:w="5306" w:type="dxa"/>
          </w:tcPr>
          <w:p w:rsidR="00D42363" w:rsidRPr="00D42363" w:rsidRDefault="00EE07A5" w:rsidP="00446760">
            <w:pPr>
              <w:pStyle w:val="NewNormal"/>
              <w:rPr>
                <w:rFonts w:cs="Arial"/>
                <w:lang w:val="en-AU"/>
              </w:rPr>
            </w:pPr>
            <w:r>
              <w:rPr>
                <w:rFonts w:cs="Arial"/>
                <w:lang w:val="en-AU"/>
              </w:rPr>
              <w:t>N Av</w:t>
            </w:r>
          </w:p>
        </w:tc>
      </w:tr>
      <w:tr w:rsidR="009835CB">
        <w:tc>
          <w:tcPr>
            <w:tcW w:w="3936" w:type="dxa"/>
          </w:tcPr>
          <w:p w:rsidR="00D42363" w:rsidRPr="00D42363" w:rsidRDefault="00D42363" w:rsidP="00446760">
            <w:pPr>
              <w:pStyle w:val="NewNormal"/>
              <w:rPr>
                <w:rFonts w:cs="Arial"/>
                <w:lang w:val="en-AU"/>
              </w:rPr>
            </w:pPr>
            <w:r w:rsidRPr="00D42363">
              <w:rPr>
                <w:rFonts w:cs="Arial"/>
                <w:b/>
                <w:lang w:val="en-AU"/>
              </w:rPr>
              <w:t>Melting Point/Range (°C):</w:t>
            </w:r>
          </w:p>
        </w:tc>
        <w:tc>
          <w:tcPr>
            <w:tcW w:w="5306" w:type="dxa"/>
          </w:tcPr>
          <w:p w:rsidR="00D42363" w:rsidRPr="00D42363" w:rsidRDefault="00EE07A5" w:rsidP="00446760">
            <w:pPr>
              <w:pStyle w:val="NewNormal"/>
              <w:rPr>
                <w:rFonts w:cs="Arial"/>
                <w:lang w:val="en-AU"/>
              </w:rPr>
            </w:pPr>
            <w:r>
              <w:rPr>
                <w:rFonts w:cs="Arial"/>
                <w:lang w:val="en-AU"/>
              </w:rPr>
              <w:t>N Av</w:t>
            </w:r>
          </w:p>
        </w:tc>
      </w:tr>
      <w:tr w:rsidR="009835CB">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EE07A5" w:rsidP="00446760">
            <w:pPr>
              <w:pStyle w:val="NewNormal"/>
              <w:rPr>
                <w:rFonts w:cs="Arial"/>
                <w:lang w:val="en-AU"/>
              </w:rPr>
            </w:pPr>
            <w:r>
              <w:rPr>
                <w:rFonts w:cs="Arial"/>
                <w:lang w:val="en-AU"/>
              </w:rPr>
              <w:t>N Av</w:t>
            </w:r>
          </w:p>
        </w:tc>
      </w:tr>
      <w:tr w:rsidR="009835CB">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EE07A5" w:rsidP="00446760">
            <w:pPr>
              <w:pStyle w:val="NewNormal"/>
              <w:rPr>
                <w:rFonts w:cs="Arial"/>
                <w:lang w:val="en-GB"/>
              </w:rPr>
            </w:pPr>
            <w:r>
              <w:rPr>
                <w:rFonts w:cs="Arial"/>
                <w:lang w:val="en-GB"/>
              </w:rPr>
              <w:t>N Av</w:t>
            </w:r>
          </w:p>
        </w:tc>
      </w:tr>
      <w:tr w:rsidR="009835CB">
        <w:tc>
          <w:tcPr>
            <w:tcW w:w="3936" w:type="dxa"/>
          </w:tcPr>
          <w:p w:rsidR="00D42363" w:rsidRPr="00D42363" w:rsidRDefault="00D42363" w:rsidP="00446760">
            <w:pPr>
              <w:pStyle w:val="NewNormal"/>
              <w:rPr>
                <w:rFonts w:cs="Arial"/>
                <w:lang w:val="en-AU"/>
              </w:rPr>
            </w:pPr>
            <w:r w:rsidRPr="00D42363">
              <w:rPr>
                <w:rFonts w:cs="Arial"/>
                <w:b/>
                <w:lang w:val="en-AU"/>
              </w:rPr>
              <w:t>Viscosity:</w:t>
            </w:r>
          </w:p>
        </w:tc>
        <w:tc>
          <w:tcPr>
            <w:tcW w:w="5306" w:type="dxa"/>
          </w:tcPr>
          <w:p w:rsidR="00D42363" w:rsidRPr="00D42363" w:rsidRDefault="00EE07A5" w:rsidP="00446760">
            <w:pPr>
              <w:pStyle w:val="NewNormal"/>
              <w:rPr>
                <w:rFonts w:cs="Arial"/>
                <w:lang w:val="en-AU"/>
              </w:rPr>
            </w:pPr>
            <w:r>
              <w:rPr>
                <w:rFonts w:cs="Arial"/>
                <w:lang w:val="en-AU"/>
              </w:rPr>
              <w:t>100 cSt @ 40°C</w:t>
            </w:r>
          </w:p>
        </w:tc>
      </w:tr>
    </w:tbl>
    <w:p w:rsidR="00072F04" w:rsidRDefault="00072F04" w:rsidP="00B06937">
      <w:pPr>
        <w:pStyle w:val="NewNormal"/>
        <w:rPr>
          <w:rFonts w:cs="Arial"/>
          <w:lang w:val="en-AU"/>
        </w:rPr>
      </w:pPr>
    </w:p>
    <w:p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rsidR="00851A5C" w:rsidRPr="00D243AC" w:rsidRDefault="00851A5C" w:rsidP="007B760E">
      <w:pPr>
        <w:pStyle w:val="NewNormal"/>
        <w:jc w:val="center"/>
        <w:rPr>
          <w:rFonts w:cs="Arial"/>
          <w:lang w:val="en-AU"/>
        </w:rPr>
      </w:pPr>
      <w:r>
        <w:rPr>
          <w:rFonts w:cs="Arial"/>
          <w:lang w:val="en-AU"/>
        </w:rPr>
        <w:t xml:space="preserve">N Av  =  Not available, </w:t>
      </w:r>
      <w:r w:rsidRPr="00851A5C">
        <w:rPr>
          <w:rFonts w:cs="Arial"/>
          <w:lang w:val="en-AU"/>
        </w:rPr>
        <w:t>N App  =  Not applicable</w:t>
      </w:r>
    </w:p>
    <w:p w:rsidR="00851A5C" w:rsidRDefault="00851A5C" w:rsidP="00B06937">
      <w:pPr>
        <w:pStyle w:val="NewNormal"/>
        <w:rPr>
          <w:rFonts w:cs="Arial"/>
          <w:lang w:val="en-AU"/>
        </w:rPr>
      </w:pPr>
    </w:p>
    <w:p w:rsidR="0088083B" w:rsidRPr="00B06937" w:rsidRDefault="0088083B" w:rsidP="0088083B">
      <w:pPr>
        <w:pStyle w:val="Heading1"/>
        <w:keepNext w:val="0"/>
        <w:widowControl/>
        <w:rPr>
          <w:rFonts w:cs="Arial"/>
          <w:lang w:val="en-AU"/>
        </w:rPr>
      </w:pPr>
      <w:r>
        <w:rPr>
          <w:rFonts w:cs="Arial"/>
          <w:lang w:val="en-AU"/>
        </w:rPr>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lang w:val="en-AU"/>
        </w:rPr>
        <w:t>This material is thermally stable when stored and used as directed.</w:t>
      </w:r>
      <w:r w:rsidR="00845DF0">
        <w:rPr>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rFonts w:cs="Arial"/>
          <w:lang w:val="en-AU"/>
        </w:rPr>
        <w:t>Elevated temperatures and sources of ignition.</w:t>
      </w:r>
      <w:r w:rsidR="00845DF0">
        <w:rPr>
          <w:rFonts w:cs="Arial"/>
          <w:lang w:val="en-AU"/>
        </w:rPr>
        <w:t xml:space="preserve">  </w:t>
      </w:r>
    </w:p>
    <w:p w:rsidR="000077D6" w:rsidRDefault="000077D6"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Pr>
          <w:b/>
          <w:snapToGrid w:val="0"/>
          <w:color w:val="000000"/>
          <w:lang w:val="en-AU"/>
        </w:rPr>
        <w:t>Incompatible materials:</w:t>
      </w:r>
      <w:r w:rsidR="00845DF0">
        <w:rPr>
          <w:b/>
          <w:snapToGrid w:val="0"/>
          <w:color w:val="000000"/>
          <w:lang w:val="en-AU"/>
        </w:rPr>
        <w:t xml:space="preserve"> </w:t>
      </w:r>
      <w:r>
        <w:rPr>
          <w:rFonts w:cs="Arial"/>
          <w:lang w:val="en-AU"/>
        </w:rPr>
        <w:t>Oxidising agents.</w:t>
      </w:r>
      <w:r w:rsidR="00845DF0">
        <w:rPr>
          <w:rFonts w:cs="Arial"/>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Pr>
          <w:rFonts w:cs="Arial"/>
          <w:lang w:val="en-AU"/>
        </w:rPr>
        <w:t xml:space="preserve">Oxides of carbon and nitrogen, smoke and other toxic fumes.  </w:t>
      </w:r>
      <w:r w:rsidR="00845DF0">
        <w:rPr>
          <w:rFonts w:cs="Arial"/>
          <w:lang w:val="en-AU"/>
        </w:rPr>
        <w:t xml:space="preserve">  </w:t>
      </w:r>
    </w:p>
    <w:p w:rsidR="000077D6" w:rsidRDefault="000077D6" w:rsidP="000077D6">
      <w:pPr>
        <w:pStyle w:val="NewNormal"/>
        <w:tabs>
          <w:tab w:val="left" w:pos="945"/>
        </w:tabs>
        <w:rPr>
          <w:rFonts w:cs="Arial"/>
          <w:lang w:val="en-AU"/>
        </w:rPr>
      </w:pPr>
    </w:p>
    <w:p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sidRPr="006A5E1A">
        <w:rPr>
          <w:rFonts w:cs="Arial"/>
          <w:lang w:val="en-AU"/>
        </w:rPr>
        <w:t>No known hazardous reactions.</w:t>
      </w:r>
      <w:r w:rsidR="00845DF0">
        <w:rPr>
          <w:rFonts w:cs="Arial"/>
          <w:lang w:val="en-AU"/>
        </w:rPr>
        <w:t xml:space="preserve">  </w:t>
      </w:r>
    </w:p>
    <w:p w:rsidR="000077D6" w:rsidRDefault="000077D6" w:rsidP="000077D6">
      <w:pPr>
        <w:pStyle w:val="NewNormal"/>
        <w:tabs>
          <w:tab w:val="left" w:pos="945"/>
        </w:tabs>
        <w:rPr>
          <w:rFonts w:cs="Arial"/>
          <w:lang w:val="en-AU"/>
        </w:rPr>
      </w:pPr>
    </w:p>
    <w:p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Material may be an irritant to mucous membranes and respiratory tract.</w:t>
      </w:r>
      <w:r w:rsidR="00C277C4">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sidR="008A7658">
        <w:rPr>
          <w:rFonts w:cs="Arial"/>
          <w:lang w:val="en-AU"/>
        </w:rPr>
        <w:t>Contact with skin may result in irritation.</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sidR="00AB37B8" w:rsidRPr="00AB37B8">
        <w:rPr>
          <w:rFonts w:cs="Arial"/>
          <w:lang w:val="en-AU"/>
        </w:rPr>
        <w:t>Swallowing can result in nausea, vomiting and irritation of the gastrointestinal tract.</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00014338" w:rsidRPr="00014338">
        <w:rPr>
          <w:rFonts w:cs="Arial"/>
          <w:lang w:val="en-AU"/>
        </w:rPr>
        <w:t>May be an eye irritant.</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00A57312" w:rsidRPr="002114F3">
        <w:rPr>
          <w:rFonts w:cs="Arial"/>
          <w:lang w:val="en-AU"/>
        </w:rPr>
        <w:t>This material has been classified as non-hazardous.  Acute toxicity estimate (based on ingredients): &gt;20 mg/L</w:t>
      </w:r>
      <w:r w:rsidR="00C277C4">
        <w:rPr>
          <w:rFonts w:cs="Arial"/>
          <w:lang w:val="en-AU"/>
        </w:rPr>
        <w:t xml:space="preserve">  </w:t>
      </w:r>
    </w:p>
    <w:p w:rsidR="00240C1D" w:rsidRDefault="00240C1D" w:rsidP="00240C1D">
      <w:pPr>
        <w:pStyle w:val="NewNormal"/>
        <w:rPr>
          <w:rFonts w:cs="Arial"/>
          <w:lang w:val="en-AU"/>
        </w:rPr>
      </w:pPr>
    </w:p>
    <w:p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This material has been classified as non-hazardous.  Acute toxicity estimate (based on ingredients): &gt;2,000 mg/Kg</w:t>
      </w:r>
      <w:r w:rsidR="00DD3F8F">
        <w:rPr>
          <w:rFonts w:cs="Arial"/>
          <w:lang w:val="en-AU"/>
        </w:rPr>
        <w:t xml:space="preserve"> bw  </w:t>
      </w:r>
    </w:p>
    <w:p w:rsidR="00F533DC" w:rsidRDefault="00F533DC" w:rsidP="00240C1D">
      <w:pPr>
        <w:pStyle w:val="NewNormal"/>
        <w:rPr>
          <w:rFonts w:cs="Arial"/>
          <w:b/>
          <w:lang w:val="en-AU"/>
        </w:rPr>
      </w:pPr>
    </w:p>
    <w:p w:rsidR="005F4EB5" w:rsidRDefault="00431D8A" w:rsidP="005F4EB5">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This material has been classified as non-hazardous.  Acute toxicity estimate (based on ingredients): &gt;2,000 mg/Kg</w:t>
      </w:r>
      <w:r w:rsidR="00E83C46">
        <w:rPr>
          <w:rFonts w:cs="Arial"/>
          <w:lang w:val="en-AU"/>
        </w:rPr>
        <w:t xml:space="preserve"> </w:t>
      </w:r>
      <w:r w:rsidR="00F65436">
        <w:rPr>
          <w:rFonts w:cs="Arial"/>
          <w:lang w:val="en-AU"/>
        </w:rPr>
        <w:t xml:space="preserve">bw </w:t>
      </w:r>
      <w:r w:rsidR="00E83C46">
        <w:rPr>
          <w:rFonts w:cs="Arial"/>
          <w:lang w:val="en-AU"/>
        </w:rPr>
        <w:t xml:space="preserve">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Pr="00343446">
        <w:rPr>
          <w:rFonts w:cs="Arial"/>
          <w:lang w:val="en-AU"/>
        </w:rPr>
        <w:t>Eye: this material has been classified as not corrosive or irritating to eyes.</w:t>
      </w:r>
      <w:r w:rsidR="00E83C46">
        <w:rPr>
          <w:rFonts w:cs="Arial"/>
          <w:lang w:val="en-AU"/>
        </w:rPr>
        <w:t xml:space="preserve">  </w:t>
      </w:r>
      <w:r w:rsidR="00A67A28" w:rsidRPr="00A67A28">
        <w:rPr>
          <w:rFonts w:cs="Arial"/>
          <w:lang w:val="en-AU"/>
        </w:rPr>
        <w:t xml:space="preserve">Skin: this material has been classified as </w:t>
      </w:r>
      <w:r w:rsidR="00E83C46">
        <w:rPr>
          <w:rFonts w:cs="Arial"/>
          <w:lang w:val="en-AU"/>
        </w:rPr>
        <w:t>not corrosive or irritating to s</w:t>
      </w:r>
      <w:r w:rsidR="00A67A28" w:rsidRPr="00A67A28">
        <w:rPr>
          <w:rFonts w:cs="Arial"/>
          <w:lang w:val="en-AU"/>
        </w:rPr>
        <w:t>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not a respiratory sensitiser.</w:t>
      </w:r>
      <w:r w:rsidR="00E83C46">
        <w:rPr>
          <w:rFonts w:cs="Arial"/>
          <w:lang w:val="en-AU"/>
        </w:rPr>
        <w:t xml:space="preserve">  </w:t>
      </w:r>
      <w:r w:rsidR="00536116" w:rsidRPr="00536116">
        <w:rPr>
          <w:rFonts w:cs="Arial"/>
          <w:lang w:val="en-AU"/>
        </w:rPr>
        <w:t>Skin: this material has been classified as not a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This material has been classified as non-hazardous.</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 non-hazardous.</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This material has been classified as non-hazardous.</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70C44" w:rsidRDefault="00470C44" w:rsidP="00470C44">
      <w:pPr>
        <w:pStyle w:val="NewNormal"/>
        <w:rPr>
          <w:rFonts w:cs="Arial"/>
          <w:lang w:val="en-AU"/>
        </w:rPr>
      </w:pPr>
    </w:p>
    <w:p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Pr="00470C44">
        <w:rPr>
          <w:rFonts w:cs="Arial"/>
          <w:lang w:val="en-AU"/>
        </w:rPr>
        <w:t>This material has been classified as non-hazardous.</w:t>
      </w:r>
      <w:r w:rsidR="009F2053">
        <w:rPr>
          <w:rFonts w:cs="Arial"/>
          <w:lang w:val="en-AU"/>
        </w:rPr>
        <w:t xml:space="preserve">  </w:t>
      </w:r>
    </w:p>
    <w:p w:rsidR="00470C44" w:rsidRDefault="00470C44" w:rsidP="00240C1D">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143B26" w:rsidRPr="00143B26">
        <w:rPr>
          <w:rFonts w:cs="Arial"/>
          <w:lang w:val="en-AU"/>
        </w:rPr>
        <w:t>This material has been classified as non-hazardous.  Acute toxicity estimate (based on ingredients): &gt;100 mg/L</w:t>
      </w:r>
      <w:r w:rsidR="00143B26">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5959B5" w:rsidRPr="005959B5">
        <w:rPr>
          <w:rFonts w:cs="Arial"/>
          <w:lang w:val="en-AU"/>
        </w:rPr>
        <w:t>This material has been classified as</w:t>
      </w:r>
      <w:r w:rsidR="005959B5">
        <w:rPr>
          <w:rFonts w:cs="Arial"/>
          <w:lang w:val="en-AU"/>
        </w:rPr>
        <w:t xml:space="preserve"> </w:t>
      </w:r>
      <w:r w:rsidR="005959B5">
        <w:rPr>
          <w:snapToGrid w:val="0"/>
          <w:lang w:val="en-AU"/>
        </w:rPr>
        <w:t>non-hazardous.  Non-rapidly or rapidly degradable substance for which there are adequate chronic toxicity data available OR in the absence of chronic toxicity data, Acute toxicity estimate (based on ingredients): &gt;100 mg/L, where the substance is not rapidly degradable and/or BCF &lt; 500 and/or log K</w:t>
      </w:r>
      <w:r w:rsidR="005959B5">
        <w:rPr>
          <w:snapToGrid w:val="0"/>
          <w:vertAlign w:val="subscript"/>
          <w:lang w:val="en-AU"/>
        </w:rPr>
        <w:t>ow</w:t>
      </w:r>
      <w:r w:rsidR="005959B5">
        <w:rPr>
          <w:snapToGrid w:val="0"/>
          <w:lang w:val="en-AU"/>
        </w:rPr>
        <w:t xml:space="preserve"> </w:t>
      </w:r>
      <w:r w:rsidR="005959B5">
        <w:rPr>
          <w:rFonts w:cs="Arial"/>
          <w:snapToGrid w:val="0"/>
          <w:lang w:val="en-AU"/>
        </w:rPr>
        <w:t>&lt;</w:t>
      </w:r>
      <w:r w:rsidR="005959B5">
        <w:rPr>
          <w:snapToGrid w:val="0"/>
          <w:lang w:val="en-AU"/>
        </w:rPr>
        <w:t xml:space="preserve"> 4.</w:t>
      </w:r>
      <w:r w:rsidR="00922C6D">
        <w:rPr>
          <w:snapToGrid w:val="0"/>
          <w:lang w:val="en-AU"/>
        </w:rPr>
        <w:t xml:space="preserve">  </w:t>
      </w:r>
    </w:p>
    <w:p w:rsidR="004967C8" w:rsidRDefault="004967C8" w:rsidP="00143B26">
      <w:pPr>
        <w:pStyle w:val="NewNormal"/>
        <w:rPr>
          <w:rFonts w:cs="Arial"/>
          <w:lang w:val="en-AU"/>
        </w:rPr>
      </w:pPr>
    </w:p>
    <w:p w:rsidR="00084777" w:rsidRDefault="00084777" w:rsidP="00143B26">
      <w:pPr>
        <w:pStyle w:val="NewNormal"/>
        <w:rPr>
          <w:rFonts w:cs="Arial"/>
          <w:lang w:val="en-AU"/>
        </w:rPr>
      </w:pPr>
      <w:r w:rsidRPr="00084777">
        <w:rPr>
          <w:rFonts w:cs="Arial"/>
          <w:b/>
          <w:lang w:val="en-AU"/>
        </w:rPr>
        <w:t>Ecotoxicity:</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r w:rsidRPr="00F2334E">
        <w:rPr>
          <w:rFonts w:cs="Arial"/>
          <w:b/>
          <w:lang w:val="en-AU"/>
        </w:rPr>
        <w:t>Bioaccumulative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3C3066" w:rsidRDefault="003C3066" w:rsidP="00143B26">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
    <w:p w:rsidR="00255DD9" w:rsidRPr="00255DD9" w:rsidRDefault="00255DD9" w:rsidP="00255DD9">
      <w:pPr>
        <w:pStyle w:val="NewNormal"/>
        <w:rPr>
          <w:rFonts w:cs="Arial"/>
          <w:lang w:val="en-AU"/>
        </w:rPr>
      </w:pPr>
    </w:p>
    <w:p w:rsidR="00255DD9" w:rsidRDefault="00255DD9" w:rsidP="00255DD9">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255DD9" w:rsidRDefault="00255DD9" w:rsidP="00B06937">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DB4472" w:rsidRDefault="00DB4472" w:rsidP="00B06937">
      <w:pPr>
        <w:pStyle w:val="NewNormal"/>
        <w:rPr>
          <w:rFonts w:cs="Arial"/>
          <w:lang w:val="en-AU"/>
        </w:rPr>
      </w:pPr>
      <w:r w:rsidRPr="00DB4472">
        <w:rPr>
          <w:rFonts w:cs="Arial"/>
          <w:lang w:val="en-AU"/>
        </w:rPr>
        <w:t xml:space="preserve">Not classified as Dangerous Goods by the criteria of the </w:t>
      </w:r>
      <w:r w:rsidR="00176969" w:rsidRPr="00176969">
        <w:rPr>
          <w:rFonts w:cs="Arial"/>
          <w:lang w:val="en-AU"/>
        </w:rPr>
        <w:t>"</w:t>
      </w:r>
      <w:r w:rsidRPr="00DB4472">
        <w:rPr>
          <w:rFonts w:cs="Arial"/>
          <w:lang w:val="en-AU"/>
        </w:rPr>
        <w:t>Australian Code for the Transport of</w:t>
      </w:r>
      <w:r w:rsidR="00176969">
        <w:rPr>
          <w:rFonts w:cs="Arial"/>
          <w:lang w:val="en-AU"/>
        </w:rPr>
        <w:t xml:space="preserve"> Dangerous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DB4472">
        <w:rPr>
          <w:rFonts w:cs="Arial"/>
          <w:lang w:val="en-AU"/>
        </w:rPr>
        <w:t>New Zealand NZS5433: Transport of Dangerous Goods on Land</w:t>
      </w:r>
      <w:r w:rsidR="00176969" w:rsidRPr="00176969">
        <w:rPr>
          <w:rFonts w:cs="Arial"/>
          <w:lang w:val="en-AU"/>
        </w:rPr>
        <w:t>"</w:t>
      </w:r>
      <w:r w:rsidRPr="00DB4472">
        <w:rPr>
          <w:rFonts w:cs="Arial"/>
          <w:lang w:val="en-AU"/>
        </w:rPr>
        <w:t>.</w:t>
      </w:r>
    </w:p>
    <w:p w:rsidR="00B55CAC" w:rsidRDefault="00B55CAC"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BE451A" w:rsidRDefault="00BE451A" w:rsidP="00B06937">
      <w:pPr>
        <w:pStyle w:val="NewNormal"/>
        <w:rPr>
          <w:rFonts w:cs="Arial"/>
          <w:lang w:val="en-AU"/>
        </w:rPr>
      </w:pPr>
      <w:r w:rsidRPr="00BE451A">
        <w:rPr>
          <w:rFonts w:cs="Arial"/>
          <w:lang w:val="en-AU"/>
        </w:rPr>
        <w:t>Not classified as Dangerous Goods by the criteria of the International Maritime Dangerous Goods Code (IMDG Code) for transport by sea.</w:t>
      </w: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851853" w:rsidRPr="00851853" w:rsidRDefault="00851853" w:rsidP="00851853">
      <w:pPr>
        <w:pStyle w:val="NewNormal"/>
        <w:rPr>
          <w:rFonts w:cs="Arial"/>
          <w:lang w:val="en-AU"/>
        </w:rPr>
      </w:pPr>
      <w:r w:rsidRPr="00851853">
        <w:rPr>
          <w:rFonts w:cs="Arial"/>
          <w:lang w:val="en-AU"/>
        </w:rPr>
        <w:t>Not classified as Dangerous Goods by the criteria of the International Air Transport Association (IATA) Dangerous Goods Regulations for transport by air.</w:t>
      </w:r>
    </w:p>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C74664" w:rsidRDefault="00C74664" w:rsidP="00505282">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not subject to the following international agreements:</w:t>
      </w:r>
    </w:p>
    <w:p w:rsidR="00C025A4" w:rsidRDefault="00C025A4" w:rsidP="00C025A4">
      <w:pPr>
        <w:pStyle w:val="NewNormal"/>
        <w:rPr>
          <w:rFonts w:cs="Arial"/>
          <w:lang w:val="en-AU"/>
        </w:rPr>
      </w:pPr>
      <w:r w:rsidRPr="00047C23">
        <w:rPr>
          <w:rFonts w:cs="Arial"/>
          <w:lang w:val="en-AU"/>
        </w:rPr>
        <w:t>Montreal Protocol (Ozone depleting substances)</w:t>
      </w:r>
    </w:p>
    <w:p w:rsidR="00C025A4" w:rsidRDefault="00C025A4" w:rsidP="00C025A4">
      <w:pPr>
        <w:pStyle w:val="NewNormal"/>
        <w:rPr>
          <w:rFonts w:cs="Arial"/>
          <w:lang w:val="en-AU"/>
        </w:rPr>
      </w:pPr>
      <w:r w:rsidRPr="00047C23">
        <w:rPr>
          <w:rFonts w:cs="Arial"/>
          <w:lang w:val="en-AU"/>
        </w:rPr>
        <w:t>The Stockholm Convention (Persistent Organic Pollutants)</w:t>
      </w:r>
    </w:p>
    <w:p w:rsidR="00C025A4" w:rsidRDefault="00C025A4" w:rsidP="00C025A4">
      <w:pPr>
        <w:pStyle w:val="NewNormal"/>
        <w:rPr>
          <w:rFonts w:cs="Arial"/>
          <w:lang w:val="en-AU"/>
        </w:rPr>
      </w:pPr>
      <w:r w:rsidRPr="00047C23">
        <w:rPr>
          <w:rFonts w:cs="Arial"/>
          <w:lang w:val="en-AU"/>
        </w:rPr>
        <w:t>The Rotterdam Convention (Prior Informed Consent)</w:t>
      </w:r>
    </w:p>
    <w:p w:rsidR="00C025A4" w:rsidRDefault="00C025A4" w:rsidP="00C025A4">
      <w:pPr>
        <w:pStyle w:val="NewNormal"/>
        <w:rPr>
          <w:rFonts w:cs="Arial"/>
          <w:lang w:val="en-AU"/>
        </w:rPr>
      </w:pPr>
      <w:r w:rsidRPr="00047C23">
        <w:rPr>
          <w:rFonts w:cs="Arial"/>
          <w:lang w:val="en-AU"/>
        </w:rPr>
        <w:t>Basel Convention (Hazardous Waste)</w:t>
      </w:r>
    </w:p>
    <w:p w:rsidR="00C025A4" w:rsidRDefault="00C025A4" w:rsidP="00C025A4">
      <w:pPr>
        <w:pStyle w:val="NewNormal"/>
        <w:rPr>
          <w:rFonts w:cs="Arial"/>
          <w:lang w:val="en-AU"/>
        </w:rPr>
      </w:pPr>
      <w:r w:rsidRPr="00047C23">
        <w:rPr>
          <w:rFonts w:cs="Arial"/>
          <w:lang w:val="en-AU"/>
        </w:rPr>
        <w:t>International Convention for the Prevention of Pollution from Ships (MARPOL)</w:t>
      </w:r>
    </w:p>
    <w:p w:rsidR="00851853" w:rsidRPr="00047C23" w:rsidRDefault="00851853" w:rsidP="00B06937">
      <w:pPr>
        <w:pStyle w:val="NewNormal"/>
        <w:rPr>
          <w:rFonts w:cs="Arial"/>
          <w:b/>
          <w:lang w:val="en-AU"/>
        </w:rPr>
      </w:pPr>
    </w:p>
    <w:p w:rsidR="00047C23" w:rsidRPr="00601DAE" w:rsidRDefault="00601DAE" w:rsidP="00B06937">
      <w:pPr>
        <w:pStyle w:val="NewNormal"/>
        <w:rPr>
          <w:rFonts w:cs="Arial"/>
          <w:b/>
          <w:lang w:val="en-AU"/>
        </w:rPr>
      </w:pPr>
      <w:r w:rsidRPr="00601DAE">
        <w:rPr>
          <w:rFonts w:cs="Arial"/>
          <w:b/>
          <w:lang w:val="en-AU"/>
        </w:rPr>
        <w:t>This material/constituent(s) is covered by the following requirements:</w:t>
      </w:r>
    </w:p>
    <w:p w:rsidR="005E0250" w:rsidRDefault="00B43B98" w:rsidP="005E0250">
      <w:pPr>
        <w:pStyle w:val="NewNormal"/>
        <w:tabs>
          <w:tab w:val="left" w:pos="3420"/>
        </w:tabs>
        <w:rPr>
          <w:rFonts w:cs="Arial"/>
          <w:lang w:val="en-AU"/>
        </w:rPr>
      </w:pPr>
      <w:r w:rsidRPr="006F49A6">
        <w:rPr>
          <w:rFonts w:cs="Arial"/>
          <w:lang w:val="en-AU"/>
        </w:rPr>
        <w:t>•</w:t>
      </w:r>
      <w:r>
        <w:rPr>
          <w:rFonts w:cs="Arial"/>
          <w:lang w:val="en-AU"/>
        </w:rPr>
        <w:t xml:space="preserve">  </w:t>
      </w:r>
      <w:r w:rsidR="00EF5C73" w:rsidRPr="00EF5C73">
        <w:rPr>
          <w:rFonts w:cs="Arial"/>
          <w:lang w:val="en-AU"/>
        </w:rPr>
        <w:t>All</w:t>
      </w:r>
      <w:r w:rsidR="00F02E7E">
        <w:rPr>
          <w:rFonts w:cs="Arial"/>
          <w:lang w:val="en-AU"/>
        </w:rPr>
        <w:t xml:space="preserve"> </w:t>
      </w:r>
      <w:r w:rsidR="00F02E7E" w:rsidRPr="00F02E7E">
        <w:rPr>
          <w:rFonts w:cs="Arial"/>
          <w:lang w:val="en-AU"/>
        </w:rPr>
        <w:t>components of this product are listed on or exempt from the Australian Inventory of Chemical Substances (AICS)</w:t>
      </w:r>
      <w:r w:rsidR="00EF5C73" w:rsidRPr="00EF5C73">
        <w:rPr>
          <w:rFonts w:cs="Arial"/>
          <w:lang w:val="en-AU"/>
        </w:rPr>
        <w:t>.</w:t>
      </w:r>
    </w:p>
    <w:p w:rsidR="00983FA3" w:rsidRDefault="00851733" w:rsidP="0036082D">
      <w:pPr>
        <w:pStyle w:val="NewNormal"/>
        <w:rPr>
          <w:rFonts w:cs="Arial"/>
          <w:lang w:val="en-AU"/>
        </w:rPr>
      </w:pPr>
      <w:r w:rsidRPr="006F49A6">
        <w:rPr>
          <w:rFonts w:cs="Arial"/>
          <w:lang w:val="en-AU"/>
        </w:rPr>
        <w:t>•</w:t>
      </w:r>
      <w:r>
        <w:rPr>
          <w:rFonts w:cs="Arial"/>
          <w:lang w:val="en-AU"/>
        </w:rPr>
        <w:t xml:space="preserve">  </w:t>
      </w:r>
      <w:r w:rsidR="00F02E7E" w:rsidRPr="00F02E7E">
        <w:rPr>
          <w:rFonts w:cs="Arial"/>
          <w:lang w:val="en-AU"/>
        </w:rPr>
        <w:t>All components of this product are listed on or exempt from the New Zealand Inventory of Chemical (NZIoC)</w:t>
      </w:r>
      <w:r w:rsidR="00F02E7E">
        <w:rPr>
          <w:rFonts w:cs="Arial"/>
          <w:lang w:val="en-AU"/>
        </w:rPr>
        <w:t>.</w:t>
      </w:r>
    </w:p>
    <w:p w:rsidR="00851733" w:rsidRDefault="00851733" w:rsidP="00B06937">
      <w:pPr>
        <w:pStyle w:val="NewNormal"/>
        <w:rPr>
          <w:rFonts w:cs="Arial"/>
          <w:lang w:val="en-AU"/>
        </w:rPr>
      </w:pP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138"/>
      </w:tblGrid>
      <w:tr w:rsidR="009835CB">
        <w:tc>
          <w:tcPr>
            <w:tcW w:w="1951" w:type="dxa"/>
          </w:tcPr>
          <w:p w:rsidR="00B43B98" w:rsidRPr="00B43B98" w:rsidRDefault="00B43B98" w:rsidP="00AC3464">
            <w:pPr>
              <w:pStyle w:val="NewNormal"/>
              <w:rPr>
                <w:lang w:val="en-AU"/>
              </w:rPr>
            </w:pPr>
            <w:r w:rsidRPr="00B43B98">
              <w:rPr>
                <w:lang w:val="en-AU"/>
              </w:rPr>
              <w:t>Reason for issue:</w:t>
            </w:r>
          </w:p>
        </w:tc>
        <w:tc>
          <w:tcPr>
            <w:tcW w:w="8329" w:type="dxa"/>
          </w:tcPr>
          <w:p w:rsidR="00B43B98" w:rsidRPr="00B43B98" w:rsidRDefault="00EE07A5" w:rsidP="00B777B6">
            <w:pPr>
              <w:pStyle w:val="NewNormal"/>
              <w:rPr>
                <w:rFonts w:cs="Arial"/>
                <w:lang w:val="en-AU"/>
              </w:rPr>
            </w:pPr>
            <w:r>
              <w:rPr>
                <w:rFonts w:cs="Arial"/>
                <w:lang w:val="en-AU"/>
              </w:rPr>
              <w:t>First issue</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7B760E">
      <w:headerReference w:type="default" r:id="rId11"/>
      <w:footerReference w:type="default" r:id="rId12"/>
      <w:pgSz w:w="11906" w:h="16838"/>
      <w:pgMar w:top="1440" w:right="849" w:bottom="993" w:left="993"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7A5" w:rsidRDefault="00EE07A5" w:rsidP="00BC1EC3">
      <w:pPr>
        <w:spacing w:after="0" w:line="240" w:lineRule="auto"/>
      </w:pPr>
      <w:r>
        <w:separator/>
      </w:r>
    </w:p>
  </w:endnote>
  <w:endnote w:type="continuationSeparator" w:id="0">
    <w:p w:rsidR="00EE07A5" w:rsidRDefault="00EE07A5"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9835CB">
      <w:trPr>
        <w:gridAfter w:val="1"/>
        <w:wAfter w:w="10" w:type="dxa"/>
      </w:trPr>
      <w:tc>
        <w:tcPr>
          <w:tcW w:w="6379" w:type="dxa"/>
          <w:gridSpan w:val="3"/>
          <w:tcBorders>
            <w:top w:val="single" w:sz="12" w:space="0" w:color="auto"/>
            <w:left w:val="nil"/>
            <w:bottom w:val="nil"/>
            <w:right w:val="nil"/>
          </w:tcBorders>
          <w:hideMark/>
        </w:tcPr>
        <w:p w:rsidR="00831CBA" w:rsidRDefault="00831CBA">
          <w:pPr>
            <w:pStyle w:val="SubHeading"/>
            <w:ind w:left="1453" w:hanging="1453"/>
          </w:pPr>
          <w:r>
            <w:t>Product Name: BOGE SYPREM 8000K AC FULL SYN 100</w:t>
          </w:r>
        </w:p>
      </w:tc>
      <w:tc>
        <w:tcPr>
          <w:tcW w:w="3828" w:type="dxa"/>
          <w:gridSpan w:val="4"/>
          <w:tcBorders>
            <w:top w:val="single" w:sz="12" w:space="0" w:color="auto"/>
            <w:left w:val="nil"/>
            <w:bottom w:val="nil"/>
            <w:right w:val="nil"/>
          </w:tcBorders>
          <w:hideMark/>
        </w:tcPr>
        <w:p w:rsidR="00831CBA" w:rsidRDefault="00831CBA" w:rsidP="00DC00C8">
          <w:pPr>
            <w:pStyle w:val="SubHeading"/>
            <w:jc w:val="right"/>
          </w:pPr>
          <w:r>
            <w:t xml:space="preserve">Reference No:  </w:t>
          </w:r>
          <w:r>
            <w:rPr>
              <w:lang w:val="en-GB"/>
            </w:rPr>
            <w:t>P00268</w:t>
          </w:r>
        </w:p>
      </w:tc>
    </w:tr>
    <w:tr w:rsidR="009835CB">
      <w:trPr>
        <w:gridAfter w:val="2"/>
        <w:wAfter w:w="419" w:type="dxa"/>
        <w:trHeight w:hRule="exact" w:val="120"/>
      </w:trPr>
      <w:tc>
        <w:tcPr>
          <w:tcW w:w="3807" w:type="dxa"/>
          <w:tcMar>
            <w:top w:w="0" w:type="dxa"/>
            <w:left w:w="108" w:type="dxa"/>
            <w:bottom w:w="0" w:type="dxa"/>
            <w:right w:w="108" w:type="dxa"/>
          </w:tcMar>
        </w:tcPr>
        <w:p w:rsidR="00831CBA" w:rsidRDefault="00831CBA">
          <w:pPr>
            <w:pStyle w:val="Header"/>
            <w:rPr>
              <w:b/>
              <w:lang w:val="de-DE"/>
            </w:rPr>
          </w:pPr>
        </w:p>
      </w:tc>
      <w:tc>
        <w:tcPr>
          <w:tcW w:w="2867" w:type="dxa"/>
          <w:gridSpan w:val="3"/>
          <w:tcMar>
            <w:top w:w="0" w:type="dxa"/>
            <w:left w:w="108" w:type="dxa"/>
            <w:bottom w:w="0" w:type="dxa"/>
            <w:right w:w="108" w:type="dxa"/>
          </w:tcMar>
        </w:tcPr>
        <w:p w:rsidR="00831CBA" w:rsidRDefault="00831CBA">
          <w:pPr>
            <w:pStyle w:val="Header"/>
            <w:rPr>
              <w:b/>
              <w:lang w:val="de-DE"/>
            </w:rPr>
          </w:pPr>
        </w:p>
      </w:tc>
      <w:tc>
        <w:tcPr>
          <w:tcW w:w="3124" w:type="dxa"/>
          <w:gridSpan w:val="2"/>
          <w:tcMar>
            <w:top w:w="0" w:type="dxa"/>
            <w:left w:w="108" w:type="dxa"/>
            <w:bottom w:w="0" w:type="dxa"/>
            <w:right w:w="108" w:type="dxa"/>
          </w:tcMar>
        </w:tcPr>
        <w:p w:rsidR="00831CBA" w:rsidRDefault="00831CBA">
          <w:pPr>
            <w:pStyle w:val="Header"/>
            <w:jc w:val="right"/>
            <w:rPr>
              <w:b/>
              <w:lang w:val="de-DE"/>
            </w:rPr>
          </w:pPr>
        </w:p>
      </w:tc>
    </w:tr>
    <w:tr w:rsidR="009835CB">
      <w:tc>
        <w:tcPr>
          <w:tcW w:w="4395" w:type="dxa"/>
          <w:gridSpan w:val="2"/>
          <w:tcMar>
            <w:top w:w="0" w:type="dxa"/>
            <w:left w:w="108" w:type="dxa"/>
            <w:bottom w:w="0" w:type="dxa"/>
            <w:right w:w="108" w:type="dxa"/>
          </w:tcMar>
          <w:hideMark/>
        </w:tcPr>
        <w:p w:rsidR="00831CBA" w:rsidRDefault="00831CBA" w:rsidP="009A1568">
          <w:pPr>
            <w:pStyle w:val="SubHeading"/>
          </w:pPr>
          <w:r>
            <w:t>Issued: 2017-03-27</w:t>
          </w:r>
        </w:p>
      </w:tc>
      <w:tc>
        <w:tcPr>
          <w:tcW w:w="2289" w:type="dxa"/>
          <w:gridSpan w:val="3"/>
          <w:tcMar>
            <w:top w:w="0" w:type="dxa"/>
            <w:left w:w="108" w:type="dxa"/>
            <w:bottom w:w="0" w:type="dxa"/>
            <w:right w:w="108" w:type="dxa"/>
          </w:tcMar>
          <w:hideMark/>
        </w:tcPr>
        <w:p w:rsidR="00831CBA" w:rsidRDefault="00831CBA">
          <w:pPr>
            <w:pStyle w:val="SubHeading"/>
            <w:ind w:left="345"/>
          </w:pPr>
          <w:r>
            <w:t>Version: 1.0</w:t>
          </w:r>
        </w:p>
      </w:tc>
      <w:tc>
        <w:tcPr>
          <w:tcW w:w="3533" w:type="dxa"/>
          <w:gridSpan w:val="3"/>
          <w:tcMar>
            <w:top w:w="0" w:type="dxa"/>
            <w:left w:w="108" w:type="dxa"/>
            <w:bottom w:w="0" w:type="dxa"/>
            <w:right w:w="108" w:type="dxa"/>
          </w:tcMar>
          <w:hideMark/>
        </w:tcPr>
        <w:p w:rsidR="00831CBA" w:rsidRDefault="00831CBA" w:rsidP="00544AAA">
          <w:pPr>
            <w:pStyle w:val="SubHeading"/>
            <w:jc w:val="right"/>
          </w:pPr>
          <w:r>
            <w:t xml:space="preserve"> Page </w:t>
          </w:r>
          <w:r>
            <w:rPr>
              <w:b w:val="0"/>
            </w:rPr>
            <w:fldChar w:fldCharType="begin"/>
          </w:r>
          <w:r>
            <w:instrText xml:space="preserve"> PAGE  \* Arabic  \* MERGEFORMAT </w:instrText>
          </w:r>
          <w:r>
            <w:rPr>
              <w:b w:val="0"/>
            </w:rPr>
            <w:fldChar w:fldCharType="separate"/>
          </w:r>
          <w:r w:rsidR="00672A7B">
            <w:rPr>
              <w:noProof/>
            </w:rPr>
            <w:t>3</w:t>
          </w:r>
          <w:r>
            <w:rPr>
              <w:b w:val="0"/>
            </w:rPr>
            <w:fldChar w:fldCharType="end"/>
          </w:r>
          <w:r>
            <w:t xml:space="preserve"> of </w:t>
          </w:r>
          <w:r w:rsidR="00672A7B">
            <w:fldChar w:fldCharType="begin"/>
          </w:r>
          <w:r w:rsidR="00672A7B">
            <w:instrText xml:space="preserve"> NUMPAGES  \* Arabic  \* MERGEFORMAT </w:instrText>
          </w:r>
          <w:r w:rsidR="00672A7B">
            <w:fldChar w:fldCharType="separate"/>
          </w:r>
          <w:r w:rsidR="00672A7B">
            <w:rPr>
              <w:noProof/>
            </w:rPr>
            <w:t>4</w:t>
          </w:r>
          <w:r w:rsidR="00672A7B">
            <w:rPr>
              <w:noProof/>
            </w:rPr>
            <w:fldChar w:fldCharType="end"/>
          </w:r>
        </w:p>
      </w:tc>
    </w:tr>
  </w:tbl>
  <w:p w:rsidR="00831CBA" w:rsidRDefault="00831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7A5" w:rsidRDefault="00EE07A5" w:rsidP="00BC1EC3">
      <w:pPr>
        <w:spacing w:after="0" w:line="240" w:lineRule="auto"/>
      </w:pPr>
      <w:r>
        <w:separator/>
      </w:r>
    </w:p>
  </w:footnote>
  <w:footnote w:type="continuationSeparator" w:id="0">
    <w:p w:rsidR="00EE07A5" w:rsidRDefault="00EE07A5"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Look w:val="04A0" w:firstRow="1" w:lastRow="0" w:firstColumn="1" w:lastColumn="0" w:noHBand="0" w:noVBand="1"/>
    </w:tblPr>
    <w:tblGrid>
      <w:gridCol w:w="3378"/>
      <w:gridCol w:w="6828"/>
    </w:tblGrid>
    <w:tr w:rsidR="009835CB">
      <w:tc>
        <w:tcPr>
          <w:tcW w:w="3378" w:type="dxa"/>
          <w:tcBorders>
            <w:top w:val="nil"/>
            <w:left w:val="nil"/>
            <w:bottom w:val="nil"/>
            <w:right w:val="nil"/>
          </w:tcBorders>
          <w:vAlign w:val="center"/>
        </w:tcPr>
        <w:p w:rsidR="00831CBA" w:rsidRDefault="00831CBA" w:rsidP="00831CBA">
          <w:pPr>
            <w:pStyle w:val="Header"/>
            <w:tabs>
              <w:tab w:val="clear" w:pos="4513"/>
              <w:tab w:val="clear" w:pos="9026"/>
              <w:tab w:val="left" w:pos="7785"/>
            </w:tabs>
            <w:rPr>
              <w:rFonts w:ascii="Arial" w:eastAsia="Times New Roman" w:hAnsi="Arial" w:cs="Times New Roman"/>
              <w:b/>
              <w:sz w:val="36"/>
              <w:szCs w:val="36"/>
              <w:lang w:val="en-US"/>
            </w:rPr>
          </w:pPr>
          <w:r w:rsidRPr="00BC1EC3">
            <w:rPr>
              <w:rFonts w:ascii="Arial" w:eastAsia="Times New Roman" w:hAnsi="Arial" w:cs="Times New Roman"/>
              <w:b/>
              <w:sz w:val="36"/>
              <w:szCs w:val="36"/>
              <w:lang w:val="en-US"/>
            </w:rPr>
            <w:t>Safety Data Sheet</w:t>
          </w:r>
        </w:p>
      </w:tc>
      <w:tc>
        <w:tcPr>
          <w:tcW w:w="6828" w:type="dxa"/>
          <w:tcBorders>
            <w:top w:val="nil"/>
            <w:left w:val="nil"/>
            <w:bottom w:val="nil"/>
            <w:right w:val="nil"/>
          </w:tcBorders>
          <w:vAlign w:val="center"/>
        </w:tcPr>
        <w:p w:rsidR="00831CBA" w:rsidRDefault="00831CBA" w:rsidP="00831CBA">
          <w:pPr>
            <w:pStyle w:val="Header"/>
            <w:tabs>
              <w:tab w:val="clear" w:pos="4513"/>
              <w:tab w:val="clear" w:pos="9026"/>
              <w:tab w:val="left" w:pos="7785"/>
            </w:tabs>
            <w:jc w:val="right"/>
            <w:rPr>
              <w:rFonts w:ascii="Arial" w:eastAsia="Times New Roman" w:hAnsi="Arial" w:cs="Times New Roman"/>
              <w:b/>
              <w:sz w:val="36"/>
              <w:szCs w:val="36"/>
              <w:lang w:val="en-US"/>
            </w:rPr>
          </w:pPr>
          <w:bookmarkStart w:id="5" w:name="HEADER_LOGO"/>
          <w:r>
            <w:rPr>
              <w:rFonts w:ascii="Arial" w:eastAsia="Times New Roman" w:hAnsi="Arial" w:cs="Times New Roman"/>
              <w:b/>
              <w:noProof/>
              <w:sz w:val="36"/>
              <w:szCs w:val="36"/>
              <w:lang w:val="en-AU" w:eastAsia="en-AU"/>
            </w:rPr>
            <w:drawing>
              <wp:inline distT="0" distB="0" distL="0" distR="0">
                <wp:extent cx="1110600" cy="720000"/>
                <wp:effectExtent l="0" t="0" r="0" b="444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0600" cy="720000"/>
                        </a:xfrm>
                        <a:prstGeom prst="rect">
                          <a:avLst/>
                        </a:prstGeom>
                        <a:noFill/>
                        <a:ln>
                          <a:noFill/>
                        </a:ln>
                      </pic:spPr>
                    </pic:pic>
                  </a:graphicData>
                </a:graphic>
              </wp:inline>
            </w:drawing>
          </w:r>
          <w:bookmarkEnd w:id="5"/>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10"/>
    <w:rsid w:val="00001FB9"/>
    <w:rsid w:val="0000325D"/>
    <w:rsid w:val="000057CE"/>
    <w:rsid w:val="000077D6"/>
    <w:rsid w:val="00010C62"/>
    <w:rsid w:val="00014338"/>
    <w:rsid w:val="00020AB6"/>
    <w:rsid w:val="00031A98"/>
    <w:rsid w:val="000336F4"/>
    <w:rsid w:val="00036F42"/>
    <w:rsid w:val="00037153"/>
    <w:rsid w:val="00043B1C"/>
    <w:rsid w:val="00044B95"/>
    <w:rsid w:val="00046467"/>
    <w:rsid w:val="00047C23"/>
    <w:rsid w:val="0005497D"/>
    <w:rsid w:val="0005556E"/>
    <w:rsid w:val="000555DF"/>
    <w:rsid w:val="00062EC7"/>
    <w:rsid w:val="0006405A"/>
    <w:rsid w:val="0007085B"/>
    <w:rsid w:val="00072F04"/>
    <w:rsid w:val="00075283"/>
    <w:rsid w:val="000846BA"/>
    <w:rsid w:val="00084777"/>
    <w:rsid w:val="00086360"/>
    <w:rsid w:val="00087B27"/>
    <w:rsid w:val="00090303"/>
    <w:rsid w:val="00095194"/>
    <w:rsid w:val="000A2F83"/>
    <w:rsid w:val="000A308D"/>
    <w:rsid w:val="000A3C7D"/>
    <w:rsid w:val="000A640B"/>
    <w:rsid w:val="000A692F"/>
    <w:rsid w:val="000A6C30"/>
    <w:rsid w:val="000B5BD2"/>
    <w:rsid w:val="000C0159"/>
    <w:rsid w:val="000C43F1"/>
    <w:rsid w:val="000E0D52"/>
    <w:rsid w:val="000E18DF"/>
    <w:rsid w:val="000E5630"/>
    <w:rsid w:val="000E7038"/>
    <w:rsid w:val="000F7233"/>
    <w:rsid w:val="000F7C19"/>
    <w:rsid w:val="00100274"/>
    <w:rsid w:val="00105562"/>
    <w:rsid w:val="001058B8"/>
    <w:rsid w:val="00107A74"/>
    <w:rsid w:val="0011234D"/>
    <w:rsid w:val="0011358A"/>
    <w:rsid w:val="00113819"/>
    <w:rsid w:val="0011381E"/>
    <w:rsid w:val="00122196"/>
    <w:rsid w:val="00126F27"/>
    <w:rsid w:val="001303C0"/>
    <w:rsid w:val="0013799D"/>
    <w:rsid w:val="00140D80"/>
    <w:rsid w:val="00142AA7"/>
    <w:rsid w:val="00143B26"/>
    <w:rsid w:val="00147424"/>
    <w:rsid w:val="00155D9B"/>
    <w:rsid w:val="00155E2B"/>
    <w:rsid w:val="0015722F"/>
    <w:rsid w:val="00162796"/>
    <w:rsid w:val="00162E86"/>
    <w:rsid w:val="00170121"/>
    <w:rsid w:val="001709A3"/>
    <w:rsid w:val="00171260"/>
    <w:rsid w:val="001713BA"/>
    <w:rsid w:val="00172CA7"/>
    <w:rsid w:val="00173521"/>
    <w:rsid w:val="00174719"/>
    <w:rsid w:val="0017501E"/>
    <w:rsid w:val="00176969"/>
    <w:rsid w:val="00186445"/>
    <w:rsid w:val="00187392"/>
    <w:rsid w:val="00187505"/>
    <w:rsid w:val="001909DD"/>
    <w:rsid w:val="00190BB9"/>
    <w:rsid w:val="00190C7F"/>
    <w:rsid w:val="00193A68"/>
    <w:rsid w:val="001974B2"/>
    <w:rsid w:val="001A496A"/>
    <w:rsid w:val="001A6900"/>
    <w:rsid w:val="001B08C3"/>
    <w:rsid w:val="001B4F17"/>
    <w:rsid w:val="001C0E23"/>
    <w:rsid w:val="001C2238"/>
    <w:rsid w:val="001C39D3"/>
    <w:rsid w:val="001C5BAB"/>
    <w:rsid w:val="001D1930"/>
    <w:rsid w:val="001D4CD0"/>
    <w:rsid w:val="001D5B61"/>
    <w:rsid w:val="001E0E42"/>
    <w:rsid w:val="001E63D5"/>
    <w:rsid w:val="001E7B81"/>
    <w:rsid w:val="001F1391"/>
    <w:rsid w:val="001F1CF7"/>
    <w:rsid w:val="001F1E02"/>
    <w:rsid w:val="00206CC9"/>
    <w:rsid w:val="002114F3"/>
    <w:rsid w:val="00215A02"/>
    <w:rsid w:val="0021718F"/>
    <w:rsid w:val="002216A5"/>
    <w:rsid w:val="0023089A"/>
    <w:rsid w:val="002350FB"/>
    <w:rsid w:val="00237C16"/>
    <w:rsid w:val="0024012D"/>
    <w:rsid w:val="002409C0"/>
    <w:rsid w:val="00240C1D"/>
    <w:rsid w:val="00241103"/>
    <w:rsid w:val="0024255E"/>
    <w:rsid w:val="00246DBE"/>
    <w:rsid w:val="0025036B"/>
    <w:rsid w:val="00255753"/>
    <w:rsid w:val="00255791"/>
    <w:rsid w:val="0025586B"/>
    <w:rsid w:val="00255DD9"/>
    <w:rsid w:val="00256538"/>
    <w:rsid w:val="00260A55"/>
    <w:rsid w:val="00264347"/>
    <w:rsid w:val="002652D8"/>
    <w:rsid w:val="00271159"/>
    <w:rsid w:val="0027296B"/>
    <w:rsid w:val="002735A9"/>
    <w:rsid w:val="00273640"/>
    <w:rsid w:val="002738BF"/>
    <w:rsid w:val="00275C68"/>
    <w:rsid w:val="00277160"/>
    <w:rsid w:val="00281740"/>
    <w:rsid w:val="002828E2"/>
    <w:rsid w:val="002835D7"/>
    <w:rsid w:val="00291B21"/>
    <w:rsid w:val="00295C1B"/>
    <w:rsid w:val="002A3DEC"/>
    <w:rsid w:val="002A507C"/>
    <w:rsid w:val="002A6342"/>
    <w:rsid w:val="002A7ACC"/>
    <w:rsid w:val="002B34E6"/>
    <w:rsid w:val="002C04C1"/>
    <w:rsid w:val="002C37B0"/>
    <w:rsid w:val="002C7BD1"/>
    <w:rsid w:val="002D427F"/>
    <w:rsid w:val="002D63E7"/>
    <w:rsid w:val="002E0F54"/>
    <w:rsid w:val="002E3E38"/>
    <w:rsid w:val="002E3E83"/>
    <w:rsid w:val="002E4365"/>
    <w:rsid w:val="002E4762"/>
    <w:rsid w:val="002E56A0"/>
    <w:rsid w:val="002E7ECF"/>
    <w:rsid w:val="002F2AA1"/>
    <w:rsid w:val="002F5099"/>
    <w:rsid w:val="002F5740"/>
    <w:rsid w:val="002F642F"/>
    <w:rsid w:val="002F64D5"/>
    <w:rsid w:val="003032FE"/>
    <w:rsid w:val="00304FBF"/>
    <w:rsid w:val="003059F2"/>
    <w:rsid w:val="0030659A"/>
    <w:rsid w:val="0031281F"/>
    <w:rsid w:val="00316E61"/>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665B5"/>
    <w:rsid w:val="00376475"/>
    <w:rsid w:val="0038242E"/>
    <w:rsid w:val="003829AD"/>
    <w:rsid w:val="003834F7"/>
    <w:rsid w:val="00383E9D"/>
    <w:rsid w:val="00390A77"/>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19F4"/>
    <w:rsid w:val="003F7B40"/>
    <w:rsid w:val="00403312"/>
    <w:rsid w:val="00410EC7"/>
    <w:rsid w:val="0041382F"/>
    <w:rsid w:val="00413A46"/>
    <w:rsid w:val="00413C7F"/>
    <w:rsid w:val="00414F5A"/>
    <w:rsid w:val="004159B3"/>
    <w:rsid w:val="00417B51"/>
    <w:rsid w:val="0042096A"/>
    <w:rsid w:val="00425C89"/>
    <w:rsid w:val="004268CD"/>
    <w:rsid w:val="0043184C"/>
    <w:rsid w:val="00431D8A"/>
    <w:rsid w:val="00432DCE"/>
    <w:rsid w:val="00434788"/>
    <w:rsid w:val="00446760"/>
    <w:rsid w:val="004468D7"/>
    <w:rsid w:val="00446ECD"/>
    <w:rsid w:val="0045256A"/>
    <w:rsid w:val="00457CF3"/>
    <w:rsid w:val="004637CF"/>
    <w:rsid w:val="004643F7"/>
    <w:rsid w:val="00470C44"/>
    <w:rsid w:val="004711FD"/>
    <w:rsid w:val="00471769"/>
    <w:rsid w:val="00473E88"/>
    <w:rsid w:val="00475555"/>
    <w:rsid w:val="00491D1B"/>
    <w:rsid w:val="004967C8"/>
    <w:rsid w:val="004A2498"/>
    <w:rsid w:val="004B3C7B"/>
    <w:rsid w:val="004B460E"/>
    <w:rsid w:val="004B4F4F"/>
    <w:rsid w:val="004B4F58"/>
    <w:rsid w:val="004C6C34"/>
    <w:rsid w:val="004C71D6"/>
    <w:rsid w:val="004D3BB4"/>
    <w:rsid w:val="004D4BC5"/>
    <w:rsid w:val="004E4D46"/>
    <w:rsid w:val="004F07F3"/>
    <w:rsid w:val="004F0CF5"/>
    <w:rsid w:val="004F5F68"/>
    <w:rsid w:val="004F7755"/>
    <w:rsid w:val="00501E8D"/>
    <w:rsid w:val="00505282"/>
    <w:rsid w:val="005114E6"/>
    <w:rsid w:val="0051219E"/>
    <w:rsid w:val="005178D1"/>
    <w:rsid w:val="005178D7"/>
    <w:rsid w:val="00520F5B"/>
    <w:rsid w:val="005225CA"/>
    <w:rsid w:val="0052283F"/>
    <w:rsid w:val="00531217"/>
    <w:rsid w:val="0053319B"/>
    <w:rsid w:val="00533E02"/>
    <w:rsid w:val="00535EBE"/>
    <w:rsid w:val="00536116"/>
    <w:rsid w:val="00540C70"/>
    <w:rsid w:val="00543F17"/>
    <w:rsid w:val="00544AAA"/>
    <w:rsid w:val="00546127"/>
    <w:rsid w:val="00554519"/>
    <w:rsid w:val="00565510"/>
    <w:rsid w:val="005667E5"/>
    <w:rsid w:val="005712EE"/>
    <w:rsid w:val="00575233"/>
    <w:rsid w:val="0057542B"/>
    <w:rsid w:val="00575EFA"/>
    <w:rsid w:val="00582C25"/>
    <w:rsid w:val="005830F9"/>
    <w:rsid w:val="00592EE7"/>
    <w:rsid w:val="005959B5"/>
    <w:rsid w:val="005972F8"/>
    <w:rsid w:val="005A593F"/>
    <w:rsid w:val="005B3F4D"/>
    <w:rsid w:val="005B5BB7"/>
    <w:rsid w:val="005B74AA"/>
    <w:rsid w:val="005C20E6"/>
    <w:rsid w:val="005C4EDF"/>
    <w:rsid w:val="005C67A0"/>
    <w:rsid w:val="005C6DFA"/>
    <w:rsid w:val="005D1B1F"/>
    <w:rsid w:val="005D3AB0"/>
    <w:rsid w:val="005D5A72"/>
    <w:rsid w:val="005E0250"/>
    <w:rsid w:val="005E06A5"/>
    <w:rsid w:val="005E676D"/>
    <w:rsid w:val="005E68FB"/>
    <w:rsid w:val="005F1997"/>
    <w:rsid w:val="005F3694"/>
    <w:rsid w:val="005F3DFE"/>
    <w:rsid w:val="005F4EB5"/>
    <w:rsid w:val="005F5C53"/>
    <w:rsid w:val="005F7462"/>
    <w:rsid w:val="00601DAE"/>
    <w:rsid w:val="006047EB"/>
    <w:rsid w:val="00625E97"/>
    <w:rsid w:val="0063095B"/>
    <w:rsid w:val="0063488E"/>
    <w:rsid w:val="006351D6"/>
    <w:rsid w:val="006418FC"/>
    <w:rsid w:val="006424B7"/>
    <w:rsid w:val="00643556"/>
    <w:rsid w:val="00645DA6"/>
    <w:rsid w:val="006471E7"/>
    <w:rsid w:val="00652DDE"/>
    <w:rsid w:val="0065429D"/>
    <w:rsid w:val="006546CD"/>
    <w:rsid w:val="00672A7B"/>
    <w:rsid w:val="00672EE6"/>
    <w:rsid w:val="00676ED2"/>
    <w:rsid w:val="00681715"/>
    <w:rsid w:val="00683431"/>
    <w:rsid w:val="00683581"/>
    <w:rsid w:val="00683B2A"/>
    <w:rsid w:val="006867D6"/>
    <w:rsid w:val="00695C2F"/>
    <w:rsid w:val="0069621D"/>
    <w:rsid w:val="006972A7"/>
    <w:rsid w:val="006A1E76"/>
    <w:rsid w:val="006A416B"/>
    <w:rsid w:val="006A5CC4"/>
    <w:rsid w:val="006A5E1A"/>
    <w:rsid w:val="006A6635"/>
    <w:rsid w:val="006A7037"/>
    <w:rsid w:val="006B16B5"/>
    <w:rsid w:val="006B295D"/>
    <w:rsid w:val="006D7304"/>
    <w:rsid w:val="006D7A75"/>
    <w:rsid w:val="006E1B93"/>
    <w:rsid w:val="006F1F71"/>
    <w:rsid w:val="006F49A6"/>
    <w:rsid w:val="006F677E"/>
    <w:rsid w:val="007016C3"/>
    <w:rsid w:val="00704C2A"/>
    <w:rsid w:val="007106DD"/>
    <w:rsid w:val="0071228D"/>
    <w:rsid w:val="0071610A"/>
    <w:rsid w:val="007166EE"/>
    <w:rsid w:val="007179D6"/>
    <w:rsid w:val="0072294D"/>
    <w:rsid w:val="00723E34"/>
    <w:rsid w:val="007257C4"/>
    <w:rsid w:val="00744F66"/>
    <w:rsid w:val="00745FE5"/>
    <w:rsid w:val="00746AF8"/>
    <w:rsid w:val="00746BD8"/>
    <w:rsid w:val="007513CD"/>
    <w:rsid w:val="00753158"/>
    <w:rsid w:val="0075437E"/>
    <w:rsid w:val="007563C0"/>
    <w:rsid w:val="0075683C"/>
    <w:rsid w:val="00762BD7"/>
    <w:rsid w:val="00763535"/>
    <w:rsid w:val="00764195"/>
    <w:rsid w:val="00764FB1"/>
    <w:rsid w:val="00765F28"/>
    <w:rsid w:val="007670A2"/>
    <w:rsid w:val="007772D9"/>
    <w:rsid w:val="007776FB"/>
    <w:rsid w:val="00781158"/>
    <w:rsid w:val="00781C2C"/>
    <w:rsid w:val="00781F44"/>
    <w:rsid w:val="007825EA"/>
    <w:rsid w:val="00782EA1"/>
    <w:rsid w:val="00783930"/>
    <w:rsid w:val="00786FC5"/>
    <w:rsid w:val="00790F05"/>
    <w:rsid w:val="00791940"/>
    <w:rsid w:val="00792E1B"/>
    <w:rsid w:val="0079466A"/>
    <w:rsid w:val="0079646A"/>
    <w:rsid w:val="007A128B"/>
    <w:rsid w:val="007A3D2C"/>
    <w:rsid w:val="007A5B6F"/>
    <w:rsid w:val="007B015D"/>
    <w:rsid w:val="007B3B66"/>
    <w:rsid w:val="007B760E"/>
    <w:rsid w:val="007C55A1"/>
    <w:rsid w:val="007D4645"/>
    <w:rsid w:val="007D665D"/>
    <w:rsid w:val="007D7A92"/>
    <w:rsid w:val="007E015F"/>
    <w:rsid w:val="007E7C0F"/>
    <w:rsid w:val="007F1A25"/>
    <w:rsid w:val="007F1F4C"/>
    <w:rsid w:val="007F2CEC"/>
    <w:rsid w:val="007F3217"/>
    <w:rsid w:val="007F4FE4"/>
    <w:rsid w:val="007F53B2"/>
    <w:rsid w:val="007F625E"/>
    <w:rsid w:val="008028B1"/>
    <w:rsid w:val="008066C6"/>
    <w:rsid w:val="00807661"/>
    <w:rsid w:val="00807D48"/>
    <w:rsid w:val="00811F43"/>
    <w:rsid w:val="00814D34"/>
    <w:rsid w:val="008160C8"/>
    <w:rsid w:val="008176FB"/>
    <w:rsid w:val="00821FBE"/>
    <w:rsid w:val="00822721"/>
    <w:rsid w:val="0082386E"/>
    <w:rsid w:val="00824F56"/>
    <w:rsid w:val="00825489"/>
    <w:rsid w:val="008261D4"/>
    <w:rsid w:val="008301FF"/>
    <w:rsid w:val="00831CBA"/>
    <w:rsid w:val="0083363A"/>
    <w:rsid w:val="00834D7E"/>
    <w:rsid w:val="00836A30"/>
    <w:rsid w:val="00841E25"/>
    <w:rsid w:val="00843BBD"/>
    <w:rsid w:val="00845DF0"/>
    <w:rsid w:val="00851733"/>
    <w:rsid w:val="00851853"/>
    <w:rsid w:val="00851A5C"/>
    <w:rsid w:val="00852D02"/>
    <w:rsid w:val="00856918"/>
    <w:rsid w:val="008620FF"/>
    <w:rsid w:val="008646B7"/>
    <w:rsid w:val="00865C5F"/>
    <w:rsid w:val="00872512"/>
    <w:rsid w:val="00874D92"/>
    <w:rsid w:val="00875349"/>
    <w:rsid w:val="008765DC"/>
    <w:rsid w:val="00877B1A"/>
    <w:rsid w:val="0088083B"/>
    <w:rsid w:val="00880FB9"/>
    <w:rsid w:val="00881898"/>
    <w:rsid w:val="00885BB9"/>
    <w:rsid w:val="00886AC3"/>
    <w:rsid w:val="0089004F"/>
    <w:rsid w:val="00890E01"/>
    <w:rsid w:val="0089311C"/>
    <w:rsid w:val="00894D51"/>
    <w:rsid w:val="00896EBF"/>
    <w:rsid w:val="0089780F"/>
    <w:rsid w:val="008A2D4E"/>
    <w:rsid w:val="008A3583"/>
    <w:rsid w:val="008A68EF"/>
    <w:rsid w:val="008A7658"/>
    <w:rsid w:val="008A7E10"/>
    <w:rsid w:val="008B6F53"/>
    <w:rsid w:val="008C538F"/>
    <w:rsid w:val="008C75B4"/>
    <w:rsid w:val="008D064E"/>
    <w:rsid w:val="008D3DD1"/>
    <w:rsid w:val="008E3874"/>
    <w:rsid w:val="008F1C4B"/>
    <w:rsid w:val="008F57D9"/>
    <w:rsid w:val="008F61D5"/>
    <w:rsid w:val="008F6FAE"/>
    <w:rsid w:val="00902414"/>
    <w:rsid w:val="00910367"/>
    <w:rsid w:val="0091243F"/>
    <w:rsid w:val="00920472"/>
    <w:rsid w:val="00920599"/>
    <w:rsid w:val="00921E64"/>
    <w:rsid w:val="00922C6D"/>
    <w:rsid w:val="00923803"/>
    <w:rsid w:val="009347F1"/>
    <w:rsid w:val="009358AA"/>
    <w:rsid w:val="00942E2B"/>
    <w:rsid w:val="00944E5A"/>
    <w:rsid w:val="009517B1"/>
    <w:rsid w:val="0095375F"/>
    <w:rsid w:val="009573AB"/>
    <w:rsid w:val="00973529"/>
    <w:rsid w:val="00976630"/>
    <w:rsid w:val="00977701"/>
    <w:rsid w:val="00980802"/>
    <w:rsid w:val="00982BB4"/>
    <w:rsid w:val="009835CB"/>
    <w:rsid w:val="00983E9A"/>
    <w:rsid w:val="00983FA3"/>
    <w:rsid w:val="00985D65"/>
    <w:rsid w:val="0099104C"/>
    <w:rsid w:val="00991395"/>
    <w:rsid w:val="009A0E8D"/>
    <w:rsid w:val="009A1568"/>
    <w:rsid w:val="009A18A7"/>
    <w:rsid w:val="009A2FD2"/>
    <w:rsid w:val="009A325C"/>
    <w:rsid w:val="009A50E6"/>
    <w:rsid w:val="009B38A4"/>
    <w:rsid w:val="009B3FD6"/>
    <w:rsid w:val="009B6B90"/>
    <w:rsid w:val="009B7346"/>
    <w:rsid w:val="009C232E"/>
    <w:rsid w:val="009C2B8F"/>
    <w:rsid w:val="009D1813"/>
    <w:rsid w:val="009E5241"/>
    <w:rsid w:val="009F2053"/>
    <w:rsid w:val="009F2D33"/>
    <w:rsid w:val="009F62D4"/>
    <w:rsid w:val="00A003BC"/>
    <w:rsid w:val="00A033E4"/>
    <w:rsid w:val="00A04BA9"/>
    <w:rsid w:val="00A07ACE"/>
    <w:rsid w:val="00A13533"/>
    <w:rsid w:val="00A14495"/>
    <w:rsid w:val="00A33A7B"/>
    <w:rsid w:val="00A359F5"/>
    <w:rsid w:val="00A41273"/>
    <w:rsid w:val="00A413B4"/>
    <w:rsid w:val="00A431B5"/>
    <w:rsid w:val="00A455B3"/>
    <w:rsid w:val="00A479C6"/>
    <w:rsid w:val="00A54121"/>
    <w:rsid w:val="00A57312"/>
    <w:rsid w:val="00A57C50"/>
    <w:rsid w:val="00A6414F"/>
    <w:rsid w:val="00A66FD6"/>
    <w:rsid w:val="00A67A28"/>
    <w:rsid w:val="00A67DE7"/>
    <w:rsid w:val="00A76E90"/>
    <w:rsid w:val="00A77DCC"/>
    <w:rsid w:val="00A84510"/>
    <w:rsid w:val="00A87187"/>
    <w:rsid w:val="00A903F8"/>
    <w:rsid w:val="00A9344F"/>
    <w:rsid w:val="00A94A90"/>
    <w:rsid w:val="00AA53F2"/>
    <w:rsid w:val="00AA6845"/>
    <w:rsid w:val="00AB1D6A"/>
    <w:rsid w:val="00AB37B8"/>
    <w:rsid w:val="00AB4FD3"/>
    <w:rsid w:val="00AB5AA9"/>
    <w:rsid w:val="00AB75F2"/>
    <w:rsid w:val="00AC3464"/>
    <w:rsid w:val="00AC5A6B"/>
    <w:rsid w:val="00AC6436"/>
    <w:rsid w:val="00AD3799"/>
    <w:rsid w:val="00AD65B0"/>
    <w:rsid w:val="00AD768F"/>
    <w:rsid w:val="00AE0AC5"/>
    <w:rsid w:val="00AE2BC6"/>
    <w:rsid w:val="00AE48D2"/>
    <w:rsid w:val="00AE5E04"/>
    <w:rsid w:val="00AE6115"/>
    <w:rsid w:val="00AE78CA"/>
    <w:rsid w:val="00AF4990"/>
    <w:rsid w:val="00AF66E4"/>
    <w:rsid w:val="00B01360"/>
    <w:rsid w:val="00B01538"/>
    <w:rsid w:val="00B03987"/>
    <w:rsid w:val="00B04E8B"/>
    <w:rsid w:val="00B06937"/>
    <w:rsid w:val="00B1011E"/>
    <w:rsid w:val="00B10B0E"/>
    <w:rsid w:val="00B15E51"/>
    <w:rsid w:val="00B25A06"/>
    <w:rsid w:val="00B2784F"/>
    <w:rsid w:val="00B30555"/>
    <w:rsid w:val="00B32DE1"/>
    <w:rsid w:val="00B34E27"/>
    <w:rsid w:val="00B36D4B"/>
    <w:rsid w:val="00B43B98"/>
    <w:rsid w:val="00B4529E"/>
    <w:rsid w:val="00B46A28"/>
    <w:rsid w:val="00B51C58"/>
    <w:rsid w:val="00B55CAC"/>
    <w:rsid w:val="00B63137"/>
    <w:rsid w:val="00B64AC9"/>
    <w:rsid w:val="00B667C3"/>
    <w:rsid w:val="00B71982"/>
    <w:rsid w:val="00B76AF8"/>
    <w:rsid w:val="00B777B6"/>
    <w:rsid w:val="00B77AEF"/>
    <w:rsid w:val="00B809F8"/>
    <w:rsid w:val="00B8504E"/>
    <w:rsid w:val="00B93DB0"/>
    <w:rsid w:val="00BA2069"/>
    <w:rsid w:val="00BA25F3"/>
    <w:rsid w:val="00BA4ECD"/>
    <w:rsid w:val="00BA515F"/>
    <w:rsid w:val="00BB2356"/>
    <w:rsid w:val="00BB2B63"/>
    <w:rsid w:val="00BB3564"/>
    <w:rsid w:val="00BB37B6"/>
    <w:rsid w:val="00BC1EC3"/>
    <w:rsid w:val="00BC51D6"/>
    <w:rsid w:val="00BC5738"/>
    <w:rsid w:val="00BC7AE1"/>
    <w:rsid w:val="00BD082C"/>
    <w:rsid w:val="00BD25E4"/>
    <w:rsid w:val="00BE2D96"/>
    <w:rsid w:val="00BE34A1"/>
    <w:rsid w:val="00BE451A"/>
    <w:rsid w:val="00BE588C"/>
    <w:rsid w:val="00BE786E"/>
    <w:rsid w:val="00BF1DF9"/>
    <w:rsid w:val="00BF7B44"/>
    <w:rsid w:val="00C00F09"/>
    <w:rsid w:val="00C025A4"/>
    <w:rsid w:val="00C15D8C"/>
    <w:rsid w:val="00C2172B"/>
    <w:rsid w:val="00C25B8F"/>
    <w:rsid w:val="00C277C4"/>
    <w:rsid w:val="00C36635"/>
    <w:rsid w:val="00C37C3F"/>
    <w:rsid w:val="00C45CAC"/>
    <w:rsid w:val="00C52A9E"/>
    <w:rsid w:val="00C53EEC"/>
    <w:rsid w:val="00C55E75"/>
    <w:rsid w:val="00C57A73"/>
    <w:rsid w:val="00C57F6F"/>
    <w:rsid w:val="00C6060D"/>
    <w:rsid w:val="00C618CF"/>
    <w:rsid w:val="00C62A92"/>
    <w:rsid w:val="00C63F76"/>
    <w:rsid w:val="00C64652"/>
    <w:rsid w:val="00C647CD"/>
    <w:rsid w:val="00C67EC4"/>
    <w:rsid w:val="00C7360A"/>
    <w:rsid w:val="00C74664"/>
    <w:rsid w:val="00C77F7F"/>
    <w:rsid w:val="00C77FB5"/>
    <w:rsid w:val="00C9257E"/>
    <w:rsid w:val="00C92F0D"/>
    <w:rsid w:val="00CA40DE"/>
    <w:rsid w:val="00CA4BE2"/>
    <w:rsid w:val="00CA65F5"/>
    <w:rsid w:val="00CB0600"/>
    <w:rsid w:val="00CB4B98"/>
    <w:rsid w:val="00CB72F7"/>
    <w:rsid w:val="00CC4A5C"/>
    <w:rsid w:val="00CD0EDD"/>
    <w:rsid w:val="00CD6E03"/>
    <w:rsid w:val="00CE5A82"/>
    <w:rsid w:val="00CF01EB"/>
    <w:rsid w:val="00CF0B59"/>
    <w:rsid w:val="00CF6FAF"/>
    <w:rsid w:val="00CF7EAE"/>
    <w:rsid w:val="00D02E5F"/>
    <w:rsid w:val="00D0367D"/>
    <w:rsid w:val="00D04930"/>
    <w:rsid w:val="00D06076"/>
    <w:rsid w:val="00D06673"/>
    <w:rsid w:val="00D1117B"/>
    <w:rsid w:val="00D13D81"/>
    <w:rsid w:val="00D15C99"/>
    <w:rsid w:val="00D20007"/>
    <w:rsid w:val="00D22B2F"/>
    <w:rsid w:val="00D243AC"/>
    <w:rsid w:val="00D25D60"/>
    <w:rsid w:val="00D30C74"/>
    <w:rsid w:val="00D34BB0"/>
    <w:rsid w:val="00D35CE2"/>
    <w:rsid w:val="00D363E6"/>
    <w:rsid w:val="00D36F13"/>
    <w:rsid w:val="00D37C6E"/>
    <w:rsid w:val="00D42363"/>
    <w:rsid w:val="00D45B73"/>
    <w:rsid w:val="00D472B6"/>
    <w:rsid w:val="00D47543"/>
    <w:rsid w:val="00D53B6B"/>
    <w:rsid w:val="00D6371B"/>
    <w:rsid w:val="00D665D3"/>
    <w:rsid w:val="00D676A8"/>
    <w:rsid w:val="00D70186"/>
    <w:rsid w:val="00D70A4A"/>
    <w:rsid w:val="00D7683E"/>
    <w:rsid w:val="00D809A8"/>
    <w:rsid w:val="00D8483C"/>
    <w:rsid w:val="00D85AB3"/>
    <w:rsid w:val="00D862AA"/>
    <w:rsid w:val="00D869D8"/>
    <w:rsid w:val="00D91DD6"/>
    <w:rsid w:val="00D95343"/>
    <w:rsid w:val="00D95555"/>
    <w:rsid w:val="00DA0BCB"/>
    <w:rsid w:val="00DA3860"/>
    <w:rsid w:val="00DA4BF4"/>
    <w:rsid w:val="00DA7245"/>
    <w:rsid w:val="00DB4472"/>
    <w:rsid w:val="00DC00C8"/>
    <w:rsid w:val="00DC271F"/>
    <w:rsid w:val="00DD11FF"/>
    <w:rsid w:val="00DD16DF"/>
    <w:rsid w:val="00DD16EF"/>
    <w:rsid w:val="00DD3F8F"/>
    <w:rsid w:val="00DD58F9"/>
    <w:rsid w:val="00DE1A8E"/>
    <w:rsid w:val="00DE2577"/>
    <w:rsid w:val="00DE6B14"/>
    <w:rsid w:val="00DF05B9"/>
    <w:rsid w:val="00DF44DF"/>
    <w:rsid w:val="00DF4D9F"/>
    <w:rsid w:val="00E01FD5"/>
    <w:rsid w:val="00E0318A"/>
    <w:rsid w:val="00E04361"/>
    <w:rsid w:val="00E04FAF"/>
    <w:rsid w:val="00E0533F"/>
    <w:rsid w:val="00E0603B"/>
    <w:rsid w:val="00E2046B"/>
    <w:rsid w:val="00E229E5"/>
    <w:rsid w:val="00E2351F"/>
    <w:rsid w:val="00E31E8F"/>
    <w:rsid w:val="00E31F6C"/>
    <w:rsid w:val="00E40EFD"/>
    <w:rsid w:val="00E42905"/>
    <w:rsid w:val="00E50227"/>
    <w:rsid w:val="00E50659"/>
    <w:rsid w:val="00E5067E"/>
    <w:rsid w:val="00E63F8A"/>
    <w:rsid w:val="00E63FED"/>
    <w:rsid w:val="00E64F34"/>
    <w:rsid w:val="00E70525"/>
    <w:rsid w:val="00E75AC0"/>
    <w:rsid w:val="00E76EB7"/>
    <w:rsid w:val="00E77CD5"/>
    <w:rsid w:val="00E80A27"/>
    <w:rsid w:val="00E83724"/>
    <w:rsid w:val="00E839EC"/>
    <w:rsid w:val="00E83C46"/>
    <w:rsid w:val="00E964C2"/>
    <w:rsid w:val="00EA286F"/>
    <w:rsid w:val="00EA3EEE"/>
    <w:rsid w:val="00EA5A18"/>
    <w:rsid w:val="00EA6377"/>
    <w:rsid w:val="00EB220B"/>
    <w:rsid w:val="00EB28A7"/>
    <w:rsid w:val="00EB4CB9"/>
    <w:rsid w:val="00EB54D2"/>
    <w:rsid w:val="00EB5E71"/>
    <w:rsid w:val="00EC1436"/>
    <w:rsid w:val="00ED29A9"/>
    <w:rsid w:val="00ED3A56"/>
    <w:rsid w:val="00EE009D"/>
    <w:rsid w:val="00EE07A5"/>
    <w:rsid w:val="00EE1920"/>
    <w:rsid w:val="00EE578E"/>
    <w:rsid w:val="00EE57D4"/>
    <w:rsid w:val="00EF1397"/>
    <w:rsid w:val="00EF49D2"/>
    <w:rsid w:val="00EF510E"/>
    <w:rsid w:val="00EF5C73"/>
    <w:rsid w:val="00F02E7E"/>
    <w:rsid w:val="00F06C6F"/>
    <w:rsid w:val="00F0792F"/>
    <w:rsid w:val="00F07969"/>
    <w:rsid w:val="00F07E74"/>
    <w:rsid w:val="00F10F82"/>
    <w:rsid w:val="00F118E2"/>
    <w:rsid w:val="00F15271"/>
    <w:rsid w:val="00F2334E"/>
    <w:rsid w:val="00F2360D"/>
    <w:rsid w:val="00F24455"/>
    <w:rsid w:val="00F3008B"/>
    <w:rsid w:val="00F300FA"/>
    <w:rsid w:val="00F30418"/>
    <w:rsid w:val="00F32185"/>
    <w:rsid w:val="00F340D8"/>
    <w:rsid w:val="00F467B1"/>
    <w:rsid w:val="00F524BE"/>
    <w:rsid w:val="00F533DC"/>
    <w:rsid w:val="00F53C3A"/>
    <w:rsid w:val="00F55A0D"/>
    <w:rsid w:val="00F65436"/>
    <w:rsid w:val="00F73658"/>
    <w:rsid w:val="00F74BB7"/>
    <w:rsid w:val="00F77511"/>
    <w:rsid w:val="00F82608"/>
    <w:rsid w:val="00F83002"/>
    <w:rsid w:val="00F909B1"/>
    <w:rsid w:val="00F94EAA"/>
    <w:rsid w:val="00FA7498"/>
    <w:rsid w:val="00FB18BD"/>
    <w:rsid w:val="00FB5DB0"/>
    <w:rsid w:val="00FC0170"/>
    <w:rsid w:val="00FC0F5C"/>
    <w:rsid w:val="00FC67F9"/>
    <w:rsid w:val="00FD0D01"/>
    <w:rsid w:val="00FD29CE"/>
    <w:rsid w:val="00FD38FA"/>
    <w:rsid w:val="00FD5BE8"/>
    <w:rsid w:val="00FD7DD7"/>
    <w:rsid w:val="00FE3E9A"/>
    <w:rsid w:val="00FF1F9C"/>
    <w:rsid w:val="00FF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B2C4A-F94D-4EC8-AA36-F1BF247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i:component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2.xml><?xml version="1.0" encoding="utf-8"?>
<odx:xpath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4'] | //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4'] | //aus-h/statement.code[.='H318']) &gt; 0"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Serious Eye Damage/Irritation - Category 1']) &gt; 0" storeItemID="{A29FFE5D-89DD-4EAC-BCEF-2867E6BF0621}"/>
  </odx:xpath>
  <odx:xpath id="acute-toxicity-corrosion-eye-cat-2a">
    <odx:dataBinding xpath="count(//aus-hazard-classification[.='Serious Eye Damage/Irritation - Category 2A']) &gt; 0" storeItemID="{A29FFE5D-89DD-4EAC-BCEF-2867E6BF0621}"/>
  </odx:xpath>
  <odx:xpath id="acute-toxicity-corrosion-eye-no-cat">
    <odx:dataBinding xpath="(count(//aus-hazard-classification[.='Serious Eye Damage/Irritation - Category 1']) = 0) and (count(//aus-hazard-classification[.='Serious Eye Damage/Irritation - Category 2A'])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Toxic to Reproduction - Category 1A']) &gt; 0" storeItemID="{A29FFE5D-89DD-4EAC-BCEF-2867E6BF0621}"/>
  </odx:xpath>
  <odx:xpath id="chronic-toxicity-reproductive-cat1b">
    <odx:dataBinding xpath="count(//aus-hazard-classification[.='Toxic to Reproduction - Category 1B']) &gt; 0" storeItemID="{A29FFE5D-89DD-4EAC-BCEF-2867E6BF0621}"/>
  </odx:xpath>
  <odx:xpath id="chronic-toxicity-reproductive-cat2">
    <odx:dataBinding xpath="count(//aus-hazard-classification[.='Toxic to Reproduction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Toxic to Reproduction - Category 1A']) = 0) and (count(//aus-hazard-classification[.='Toxic to Reproduction - Category 1B']) = 0) and (count(//aus-hazard-classification[.='Toxic to Reproduction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to-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to-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nz-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supplier-name">
    <odx:dataBinding xpath="/material/supplier-name" storeItemID="{A29FFE5D-89DD-4EAC-BCEF-2867E6BF0621}"/>
  </odx:xpath>
  <odx:xpath id="supplier-company-number">
    <odx:dataBinding xpath="/material/supplier-company-number" storeItemID="{A29FFE5D-89DD-4EAC-BCEF-2867E6BF0621}"/>
  </odx:xpath>
  <odx:xpath id="supplier-address">
    <odx:dataBinding xpath="/material/supplier-address" storeItemID="{A29FFE5D-89DD-4EAC-BCEF-2867E6BF0621}"/>
  </odx:xpath>
  <odx:xpath id="supplier-telephone">
    <odx:dataBinding xpath="/material/supplier-telephone" storeItemID="{A29FFE5D-89DD-4EAC-BCEF-2867E6BF0621}"/>
  </odx:xpath>
  <odx:xpath id="supplier-fax">
    <odx:dataBinding xpath="/material/supplier-fax" storeItemID="{A29FFE5D-89DD-4EAC-BCEF-2867E6BF0621}"/>
  </odx:xpath>
  <odx:xpath id="has-supplier-fax">
    <odx:dataBinding xpath="string-length(/material/supplier-fax) &gt; 0" storeItemID="{A29FFE5D-89DD-4EAC-BCEF-2867E6BF0621}"/>
  </odx:xpath>
  <odx:xpath id="supplier-emergency-telephone">
    <odx:dataBinding xpath="/material/supplier-emergency-telephone" storeItemID="{A29FFE5D-89DD-4EAC-BCEF-2867E6BF0621}"/>
  </odx:xpath>
  <odx:xpath id="supplier-logo">
    <odx:dataBinding xpath="/material/supplier-logo" storeItemID="{A29FFE5D-89DD-4EAC-BCEF-2867E6BF0621}"/>
  </odx:xpath>
  <odx:xpath id="not-draft">
    <odx:dataBinding xpath="not(/material/document-draft = 'true')" storeItemID="{A29FFE5D-89DD-4EAC-BCEF-2867E6BF0621}"/>
  </odx:xpath>
  <odx:xpath id="is-draft">
    <odx:dataBinding xpath="/material/document-draft" storeItemID="{A29FFE5D-89DD-4EAC-BCEF-2867E6BF0621}"/>
  </odx:xpath>
  <odx:xpath id="is-draft">
    <odx:dataBinding xpath="/material/document-draft" storeItemID="{A29FFE5D-89DD-4EAC-BCEF-2867E6BF0621}"/>
  </odx:xpath>
  <odx:xpath id="has-p-phrases">
    <odx:dataBinding xpath="count(/material/aus-precautionary-phrases-prevention/aus-precautionary-phrases-prevention) + count(/material/aus-precautionary-phrases-response/aus-precautionary-phrases-response) + count(/material/aus-precautionary-phrases-storage/aus-precautionary-phrases-storage) + count(/material/aus-precautionary-phrases-disposal/aus-precautionary-phrases-disposal) &gt; 0" storeItemID="{A29FFE5D-89DD-4EAC-BCEF-2867E6BF0621}"/>
  </odx:xpath>
  <odx:xpath id="handling-special-instructions-not-set">
    <odx:dataBinding xpath="string-length(/material/material-handling-special-instructions) = 0" storeItemID="{A29FFE5D-89DD-4EAC-BCEF-2867E6BF0621}"/>
  </odx:xpath>
  <odx:xpath id="storage-special-instructions-not-set">
    <odx:dataBinding xpath="string-length(/material/material-storage-special-instructions) = 0" storeItemID="{A29FFE5D-89DD-4EAC-BCEF-2867E6BF0621}"/>
  </odx:xpath>
  <odx:xpath id="accident-large-spills-special-not-set">
    <odx:dataBinding xpath="string-length(/material/material-large-spills-special-instructions) = 0" storeItemID="{A29FFE5D-89DD-4EAC-BCEF-2867E6BF0621}"/>
  </odx:xpath>
  <odx:xpath id="accident-small-spills-special-not-set">
    <odx:dataBinding xpath="string-length(/material/material-small-spills-special-instructions) = 0" storeItemID="{A29FFE5D-89DD-4EAC-BCEF-2867E6BF0621}"/>
  </odx:xpath>
  <odx:xpath id="ecological-acute-aquatic-not-set">
    <odx:dataBinding xpath="string-length(/material/material-acute-aquatic-hazard) = 0" storeItemID="{A29FFE5D-89DD-4EAC-BCEF-2867E6BF0621}"/>
  </odx:xpath>
  <odx:xpath id="ecological-longterm-aquatic-not-set">
    <odx:dataBinding xpath="string-length(/material/material-long-term-aquatic-hazard) = 0" storeItemID="{A29FFE5D-89DD-4EAC-BCEF-2867E6BF0621}"/>
  </odx:xpath>
  <odx:xpath id="ppe-image">
    <odx:dataBinding xpath="/material/material-ppe-icons/material-ppe-icon/material-ppe-icon.image" storeItemID="{A29FFE5D-89DD-4EAC-BCEF-2867E6BF0621}"/>
  </odx:xpath>
  <odx:xpath id="ppe-images">
    <odx:dataBinding xpath="/material/material-ppe-icons/material-ppe-icon" storeItemID="{A29FFE5D-89DD-4EAC-BCEF-2867E6BF0621}"/>
  </odx:xpath>
  <odx:xpath id="section-16-custom-not-set">
    <odx:dataBinding xpath="string-length(/material/section-16-other-information) = 0" storeItemID="{A29FFE5D-89DD-4EAC-BCEF-2867E6BF0621}"/>
  </odx:xpath>
  <odx:xpath id="section-16-custom">
    <odx:dataBinding xpath="/material/section-16-other-information" storeItemID="{A29FFE5D-89DD-4EAC-BCEF-2867E6BF0621}"/>
  </odx:xpath>
  <odx:xpath id="section-16-custom-set">
    <odx:dataBinding xpath="string-length(/material/section-16-other-information) &gt; 0" storeItemID="{A29FFE5D-89DD-4EAC-BCEF-2867E6BF0621}"/>
  </odx:xpath>
  <odx:xpath id="ppe-additional-info">
    <odx:dataBinding xpath="/material/material-ppe-additional-info" storeItemID="{A29FFE5D-89DD-4EAC-BCEF-2867E6BF0621}"/>
  </odx:xpath>
  <odx:xpath id="ppe-additional-info-set">
    <odx:dataBinding xpath="string-length(/material/material-ppe-additional-info) &gt; 0" storeItemID="{A29FFE5D-89DD-4EAC-BCEF-2867E6BF0621}"/>
  </odx:xpath>
  <odx:xpath id="synonym-barcode">
    <odx:dataBinding xpath="/material/synonyms/synonym/synonym.barcode" storeItemID="{A29FFE5D-89DD-4EAC-BCEF-2867E6BF0621}"/>
  </odx:xpath>
  <odx:xpath id="synonym-name_0">
    <odx:dataBinding xpath="/material/synonyms/synonym[1]/synonym.name" storeItemID="{A29FFE5D-89DD-4EAC-BCEF-2867E6BF0621}"/>
  </odx:xpath>
  <odx:xpath id="synonym-id_0">
    <odx:dataBinding xpath="/material/synonyms/synonym[1]/synonym.id" storeItemID="{A29FFE5D-89DD-4EAC-BCEF-2867E6BF0621}"/>
  </odx:xpath>
  <odx:xpath id="synonym-barcode_0">
    <odx:dataBinding xpath="/material/synonyms/synonym[1]/synonym.barcode"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ppe-image_0">
    <odx:dataBinding xpath="/material/material-ppe-icons/material-ppe-icon[1]/material-ppe-icon.image" storeItemID="{A29FFE5D-89DD-4EAC-BCEF-2867E6BF0621}"/>
  </odx:xpath>
  <odx:xpath id="ppe-image_1">
    <odx:dataBinding xpath="/material/material-ppe-icons/material-ppe-icon[2]/material-ppe-icon.image" storeItemID="{A29FFE5D-89DD-4EAC-BCEF-2867E6BF0621}"/>
  </odx:xpath>
  <odx:xpath id="ppe-image_2">
    <odx:dataBinding xpath="/material/material-ppe-icons/material-ppe-icon[3]/material-ppe-icon.image" storeItemID="{A29FFE5D-89DD-4EAC-BCEF-2867E6BF0621}"/>
  </odx:xpath>
  <odx:xpath id="ppe-image_3">
    <odx:dataBinding xpath="/material/material-ppe-icons/material-ppe-icon[4]/material-ppe-icon.image" storeItemID="{A29FFE5D-89DD-4EAC-BCEF-2867E6BF0621}"/>
  </odx:xpath>
  <odx:xpath id="reason-for-issue_0">
    <odx:dataBinding xpath="/material/document-reasons-for-issue/document-reasons-for-issue[1]" storeItemID="{A29FFE5D-89DD-4EAC-BCEF-2867E6BF0621}"/>
  </odx:xpath>
</odx:xpaths>
</file>

<file path=customXml/item3.xml><?xml version="1.0" encoding="utf-8"?>
<odc:condition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 id="has-supplier-fax">
    <odc:xpathref id="has-supplier-fax"/>
  </odc:condition>
  <odc:condition id="not-draft">
    <odc:xpathref id="not-draft"/>
  </odc:condition>
  <odc:condition id="is-draft">
    <odc:xpathref id="is-draft"/>
  </odc:condition>
  <odc:condition id="is-draft">
    <odc:xpathref id="is-draft"/>
  </odc:condition>
  <odc:condition id="has-p-phrases">
    <odc:xpathref id="has-p-phrases"/>
  </odc:condition>
  <odc:condition id="handling-special-instructions-not-set">
    <odc:xpathref id="handling-special-instructions-not-set"/>
  </odc:condition>
  <odc:condition id="storage-special-instructions-not-set">
    <odc:xpathref id="storage-special-instructions-not-set"/>
  </odc:condition>
  <odc:condition id="accident-large-spills-special-not-set">
    <odc:xpathref id="accident-large-spills-special-not-set"/>
  </odc:condition>
  <odc:condition id="accident-small-spills-special-not-set">
    <odc:xpathref id="accident-small-spills-special-not-set"/>
  </odc:condition>
  <odc:condition id="ecological-acute-aquatic-not-set">
    <odc:xpathref id="ecological-acute-aquatic-not-set"/>
  </odc:condition>
  <odc:condition id="ecological-longterm-aquatic-not-set">
    <odc:xpathref id="ecological-longterm-aquatic-not-set"/>
  </odc:condition>
  <odc:condition id="section-16-custom-not-set">
    <odc:xpathref id="section-16-custom-not-set"/>
  </odc:condition>
  <odc:condition id="section-16-custom-set">
    <odc:xpathref id="section-16-custom-set"/>
  </odc:condition>
  <odc:condition id="ppe-additional-info-set">
    <odc:xpathref id="ppe-additional-info-set"/>
  </odc:condition>
</odc:conditions>
</file>

<file path=customXml/item4.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7FE7EC0-7E1A-4F8F-AA2D-00CE8409DDFD}">
  <ds:schemaRefs>
    <ds:schemaRef ds:uri="http://www.w3.org/2001/XMLSchema"/>
    <ds:schemaRef ds:uri="http://opendope.org/component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56B11A31-2577-43B5-8FB2-0022C2121033}">
  <ds:schemaRefs>
    <ds:schemaRef ds:uri="http://www.w3.org/2001/XMLSchema"/>
    <ds:schemaRef ds:uri="http://opendope.org/xpath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54309C34-1B05-470D-A208-51D676326184}">
  <ds:schemaRefs>
    <ds:schemaRef ds:uri="http://www.w3.org/2001/XMLSchema"/>
    <ds:schemaRef ds:uri="http://opendope.org/condition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665584BB-A441-42F8-BF0F-EA4B8FB865C8}">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4</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11951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Administrator</cp:lastModifiedBy>
  <cp:revision>60</cp:revision>
  <dcterms:created xsi:type="dcterms:W3CDTF">2016-06-15T02:45:00Z</dcterms:created>
  <dcterms:modified xsi:type="dcterms:W3CDTF">2017-03-27T01:57:00Z</dcterms:modified>
</cp:coreProperties>
</file>