
<file path=[Content_Types].xml><?xml version="1.0" encoding="utf-8"?>
<Types xmlns="http://schemas.openxmlformats.org/package/2006/content-types">
  <Default Extension="png" ContentType="image/png"/>
  <Default Extension="x-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BC1EC3" w:rsidP="00BC1EC3">
      <w:pPr>
        <w:pStyle w:val="SubHeading"/>
        <w:keepNext w:val="0"/>
        <w:jc w:val="center"/>
        <w:rPr>
          <w:rFonts w:cs="Arial"/>
          <w:sz w:val="24"/>
          <w:lang w:val="en-AU"/>
        </w:rPr>
      </w:pPr>
      <w:r w:rsidRPr="00BC1EC3">
        <w:rPr>
          <w:rFonts w:cs="Arial"/>
          <w:sz w:val="24"/>
          <w:lang w:val="en-AU"/>
        </w:rPr>
        <w:t xml:space="preserve">Hazardous </w:t>
      </w:r>
      <w:r w:rsidR="002735A9">
        <w:rPr>
          <w:rFonts w:cs="Arial"/>
          <w:sz w:val="24"/>
          <w:lang w:val="en-AU"/>
        </w:rPr>
        <w:t>Chemical</w:t>
      </w:r>
      <w:r w:rsidRPr="00BC1EC3">
        <w:rPr>
          <w:rFonts w:cs="Arial"/>
          <w:sz w:val="24"/>
          <w:lang w:val="en-AU"/>
        </w:rPr>
        <w:t xml:space="preserve">, </w:t>
      </w:r>
      <w:r w:rsidR="00BA25F3">
        <w:rPr>
          <w:rFonts w:cs="Arial"/>
          <w:sz w:val="24"/>
          <w:lang w:val="en-AU"/>
        </w:rPr>
        <w:t>NON-</w:t>
      </w:r>
      <w:r w:rsidRPr="00BC1EC3">
        <w:rPr>
          <w:rFonts w:cs="Arial"/>
          <w:sz w:val="24"/>
          <w:lang w:val="en-AU"/>
        </w:rPr>
        <w:t>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BC1EC3" w:rsidRPr="00BC1EC3" w:rsidRDefault="00BC1EC3" w:rsidP="00FF1F9C">
      <w:pPr>
        <w:pStyle w:val="SubHeading"/>
        <w:keepNext w:val="0"/>
        <w:tabs>
          <w:tab w:val="left" w:pos="3570"/>
        </w:tabs>
        <w:rPr>
          <w:rFonts w:cs="Arial"/>
          <w:color w:val="000000"/>
          <w:lang w:val="en-AU"/>
        </w:rPr>
      </w:pPr>
      <w:r w:rsidRPr="00BC1EC3">
        <w:rPr>
          <w:rFonts w:cs="Arial"/>
          <w:lang w:val="en-AU"/>
        </w:rPr>
        <w:t xml:space="preserve">Product name: </w:t>
      </w:r>
      <w:r>
        <w:rPr>
          <w:rFonts w:cs="Arial"/>
          <w:b w:val="0"/>
          <w:color w:val="000000"/>
          <w:sz w:val="36"/>
          <w:lang w:val="en-AU"/>
        </w:rPr>
        <w:t>DIRECTIONS PLUS DIESEL FUEL COND</w:t>
      </w:r>
    </w:p>
    <w:p w:rsidR="00BC1EC3" w:rsidRDefault="00BC1EC3" w:rsidP="00BC1EC3">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3"/>
        <w:gridCol w:w="2750"/>
      </w:tblGrid>
      <w:tr w:rsidR="00AB1A14" w:rsidTr="00AB1A14">
        <w:tc>
          <w:tcPr>
            <w:tcW w:w="7313" w:type="dxa"/>
          </w:tcPr>
          <w:p w:rsidR="00AB1A14" w:rsidRPr="005114E6" w:rsidRDefault="00AB1A14" w:rsidP="00AC3464">
            <w:pPr>
              <w:pStyle w:val="NewNormal"/>
              <w:rPr>
                <w:rFonts w:cs="Arial"/>
                <w:b/>
                <w:lang w:val="en-AU"/>
              </w:rPr>
            </w:pPr>
            <w:bookmarkStart w:id="0" w:name="SYNONYMS_TABLE"/>
            <w:bookmarkStart w:id="1" w:name="_GoBack"/>
            <w:bookmarkEnd w:id="1"/>
            <w:r w:rsidRPr="005114E6">
              <w:rPr>
                <w:rFonts w:cs="Arial"/>
                <w:b/>
                <w:lang w:val="en-AU"/>
              </w:rPr>
              <w:t>Synonyms</w:t>
            </w:r>
          </w:p>
        </w:tc>
        <w:tc>
          <w:tcPr>
            <w:tcW w:w="2750" w:type="dxa"/>
          </w:tcPr>
          <w:p w:rsidR="00AB1A14" w:rsidRPr="005114E6" w:rsidRDefault="00AB1A14" w:rsidP="00AC3464">
            <w:pPr>
              <w:pStyle w:val="NewNormal"/>
              <w:rPr>
                <w:rFonts w:cs="Arial"/>
                <w:b/>
                <w:lang w:val="en-AU"/>
              </w:rPr>
            </w:pPr>
            <w:r>
              <w:rPr>
                <w:rFonts w:cs="Arial"/>
                <w:b/>
                <w:lang w:val="en-AU"/>
              </w:rPr>
              <w:t>Product Code</w:t>
            </w:r>
          </w:p>
        </w:tc>
      </w:tr>
      <w:tr w:rsidR="00AB1A14" w:rsidTr="00AB1A14">
        <w:tc>
          <w:tcPr>
            <w:tcW w:w="7313" w:type="dxa"/>
          </w:tcPr>
          <w:p w:rsidR="00AB1A14" w:rsidRPr="005114E6" w:rsidRDefault="00AB1A14" w:rsidP="00AC3464">
            <w:pPr>
              <w:pStyle w:val="NewNormal"/>
              <w:rPr>
                <w:rFonts w:cs="Arial"/>
                <w:lang w:val="en-AU"/>
              </w:rPr>
            </w:pPr>
            <w:r>
              <w:rPr>
                <w:rFonts w:cs="Arial"/>
                <w:lang w:val="en-GB"/>
              </w:rPr>
              <w:t>DIRECTIONS PLUS DIESEL FUEL COND (Chamber) 1lt DPDFC200 DIRECTIONS PLUS DIESEL FUEL COND, 200 mL</w:t>
            </w:r>
          </w:p>
        </w:tc>
        <w:tc>
          <w:tcPr>
            <w:tcW w:w="2750" w:type="dxa"/>
          </w:tcPr>
          <w:p w:rsidR="00AB1A14" w:rsidRDefault="00AB1A14" w:rsidP="00AC3464">
            <w:pPr>
              <w:pStyle w:val="NewNormal"/>
              <w:rPr>
                <w:rFonts w:cs="Arial"/>
                <w:lang w:val="en-AU"/>
              </w:rPr>
            </w:pPr>
            <w:r>
              <w:rPr>
                <w:rFonts w:cs="Arial"/>
                <w:lang w:val="en-AU"/>
              </w:rPr>
              <w:t>DPDFC200</w:t>
            </w:r>
          </w:p>
        </w:tc>
      </w:tr>
      <w:tr w:rsidR="00AB1A14" w:rsidTr="00AB1A14">
        <w:tc>
          <w:tcPr>
            <w:tcW w:w="7313" w:type="dxa"/>
          </w:tcPr>
          <w:p w:rsidR="00AB1A14" w:rsidRPr="005114E6" w:rsidRDefault="00AB1A14" w:rsidP="00AC3464">
            <w:pPr>
              <w:pStyle w:val="NewNormal"/>
              <w:rPr>
                <w:rFonts w:cs="Arial"/>
                <w:lang w:val="en-AU"/>
              </w:rPr>
            </w:pPr>
            <w:r>
              <w:rPr>
                <w:rFonts w:cs="Arial"/>
                <w:lang w:val="en-GB"/>
              </w:rPr>
              <w:t>DIRECTIONS PLUS DIESEL FUEL COND, (Chamber) 1 Litre</w:t>
            </w:r>
          </w:p>
        </w:tc>
        <w:tc>
          <w:tcPr>
            <w:tcW w:w="2750" w:type="dxa"/>
          </w:tcPr>
          <w:p w:rsidR="00AB1A14" w:rsidRDefault="00AB1A14" w:rsidP="00AC3464">
            <w:pPr>
              <w:pStyle w:val="NewNormal"/>
              <w:rPr>
                <w:rFonts w:cs="Arial"/>
                <w:lang w:val="en-AU"/>
              </w:rPr>
            </w:pPr>
            <w:r>
              <w:rPr>
                <w:rFonts w:cs="Arial"/>
                <w:lang w:val="en-AU"/>
              </w:rPr>
              <w:t>DPDFC1000</w:t>
            </w:r>
          </w:p>
        </w:tc>
      </w:tr>
      <w:bookmarkEnd w:id="0"/>
    </w:tbl>
    <w:p w:rsidR="005114E6" w:rsidRDefault="005114E6" w:rsidP="00BC1EC3">
      <w:pPr>
        <w:pStyle w:val="NewNormal"/>
        <w:rPr>
          <w:rFonts w:cs="Arial"/>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 xml:space="preserve">Cetane Booster. Diesel Additive. </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Look w:val="0000" w:firstRow="0" w:lastRow="0" w:firstColumn="0" w:lastColumn="0" w:noHBand="0" w:noVBand="0"/>
      </w:tblPr>
      <w:tblGrid>
        <w:gridCol w:w="1809"/>
        <w:gridCol w:w="6838"/>
      </w:tblGrid>
      <w:tr w:rsidR="00E8339A">
        <w:tc>
          <w:tcPr>
            <w:tcW w:w="1809" w:type="dxa"/>
          </w:tcPr>
          <w:p w:rsidR="00CC4A5C" w:rsidRPr="001716A4" w:rsidRDefault="00CC4A5C" w:rsidP="00831CBA">
            <w:pPr>
              <w:pStyle w:val="SubHeading"/>
              <w:keepNext w:val="0"/>
              <w:widowControl/>
            </w:pPr>
            <w:bookmarkStart w:id="2" w:name="SUPPLIER_TABLE"/>
            <w:r w:rsidRPr="001716A4">
              <w:t>Supplier:</w:t>
            </w:r>
          </w:p>
        </w:tc>
        <w:tc>
          <w:tcPr>
            <w:tcW w:w="6838" w:type="dxa"/>
          </w:tcPr>
          <w:p w:rsidR="00CC4A5C" w:rsidRPr="001716A4" w:rsidRDefault="006A0DCE" w:rsidP="00825489">
            <w:pPr>
              <w:pStyle w:val="NewNormal"/>
              <w:widowControl/>
            </w:pPr>
            <w:bookmarkStart w:id="3" w:name="SUPPLIER"/>
            <w:r>
              <w:t>Peak Lubricants Pty Ltd</w:t>
            </w:r>
            <w:bookmarkEnd w:id="3"/>
          </w:p>
        </w:tc>
      </w:tr>
      <w:tr w:rsidR="00E8339A">
        <w:tc>
          <w:tcPr>
            <w:tcW w:w="1809" w:type="dxa"/>
          </w:tcPr>
          <w:p w:rsidR="00CC4A5C" w:rsidRPr="001716A4" w:rsidRDefault="00CC4A5C" w:rsidP="00831CBA">
            <w:pPr>
              <w:pStyle w:val="SubHeading"/>
              <w:keepNext w:val="0"/>
              <w:widowControl/>
            </w:pPr>
            <w:r w:rsidRPr="001716A4">
              <w:t>ABN:</w:t>
            </w:r>
          </w:p>
        </w:tc>
        <w:tc>
          <w:tcPr>
            <w:tcW w:w="6838" w:type="dxa"/>
          </w:tcPr>
          <w:p w:rsidR="00E8339A" w:rsidRDefault="00AB1A14">
            <w:pPr>
              <w:pStyle w:val="NewNormal"/>
              <w:widowControl/>
            </w:pPr>
            <w:r>
              <w:t>74887410101</w:t>
            </w:r>
          </w:p>
        </w:tc>
      </w:tr>
      <w:tr w:rsidR="00E8339A">
        <w:tc>
          <w:tcPr>
            <w:tcW w:w="1809" w:type="dxa"/>
          </w:tcPr>
          <w:p w:rsidR="00CC4A5C" w:rsidRPr="001716A4" w:rsidRDefault="00CC4A5C" w:rsidP="00831CBA">
            <w:pPr>
              <w:pStyle w:val="SubHeading"/>
              <w:keepNext w:val="0"/>
              <w:widowControl/>
            </w:pPr>
            <w:r w:rsidRPr="001716A4">
              <w:t>Street Address:</w:t>
            </w:r>
          </w:p>
        </w:tc>
        <w:tc>
          <w:tcPr>
            <w:tcW w:w="6838" w:type="dxa"/>
          </w:tcPr>
          <w:p w:rsidR="00E8339A" w:rsidRDefault="00AB1A14">
            <w:pPr>
              <w:pStyle w:val="NewNormal"/>
              <w:widowControl/>
            </w:pPr>
            <w:r>
              <w:t>224-230 South Gippsland Hwy</w:t>
            </w:r>
            <w:r>
              <w:br/>
              <w:t>Dandenong</w:t>
            </w:r>
            <w:r>
              <w:br/>
              <w:t>Victoria 3175</w:t>
            </w:r>
          </w:p>
        </w:tc>
      </w:tr>
      <w:tr w:rsidR="00E8339A">
        <w:tc>
          <w:tcPr>
            <w:tcW w:w="1809" w:type="dxa"/>
          </w:tcPr>
          <w:p w:rsidR="00B15E51" w:rsidRPr="00C15D8C" w:rsidRDefault="00B15E51" w:rsidP="00831CBA">
            <w:pPr>
              <w:pStyle w:val="NewNormal"/>
              <w:widowControl/>
              <w:rPr>
                <w:b/>
              </w:rPr>
            </w:pPr>
            <w:r w:rsidRPr="00C15D8C">
              <w:rPr>
                <w:b/>
              </w:rPr>
              <w:t>Telephone:</w:t>
            </w:r>
          </w:p>
        </w:tc>
        <w:tc>
          <w:tcPr>
            <w:tcW w:w="6838" w:type="dxa"/>
          </w:tcPr>
          <w:p w:rsidR="00E8339A" w:rsidRDefault="00AB1A14">
            <w:pPr>
              <w:pStyle w:val="NewNormal"/>
              <w:widowControl/>
            </w:pPr>
            <w:r>
              <w:t>(03) 9799 0977</w:t>
            </w:r>
          </w:p>
        </w:tc>
      </w:tr>
      <w:bookmarkEnd w:id="2"/>
    </w:tbl>
    <w:p w:rsidR="00DC00C8" w:rsidRDefault="00DC00C8" w:rsidP="00DC00C8">
      <w:pPr>
        <w:pStyle w:val="NewNormal"/>
        <w:widowControl/>
      </w:pPr>
    </w:p>
    <w:tbl>
      <w:tblPr>
        <w:tblW w:w="10188" w:type="dxa"/>
        <w:tblLayout w:type="fixed"/>
        <w:tblLook w:val="0000" w:firstRow="0" w:lastRow="0" w:firstColumn="0" w:lastColumn="0" w:noHBand="0" w:noVBand="0"/>
      </w:tblPr>
      <w:tblGrid>
        <w:gridCol w:w="3228"/>
        <w:gridCol w:w="6960"/>
      </w:tblGrid>
      <w:tr w:rsidR="00E8339A">
        <w:trPr>
          <w:cantSplit/>
        </w:trPr>
        <w:tc>
          <w:tcPr>
            <w:tcW w:w="3228" w:type="dxa"/>
            <w:tcBorders>
              <w:top w:val="nil"/>
              <w:left w:val="nil"/>
              <w:bottom w:val="nil"/>
              <w:right w:val="nil"/>
            </w:tcBorders>
          </w:tcPr>
          <w:p w:rsidR="00DC00C8" w:rsidRDefault="00DC00C8" w:rsidP="00831CBA">
            <w:pPr>
              <w:pStyle w:val="NewNormal"/>
              <w:rPr>
                <w:lang w:val="en-AU"/>
              </w:rPr>
            </w:pPr>
            <w:bookmarkStart w:id="4" w:name="EMERGENCY_TABLE"/>
            <w:r>
              <w:rPr>
                <w:b/>
                <w:lang w:val="en-AU"/>
              </w:rPr>
              <w:t>Emergency Telephone number:</w:t>
            </w:r>
          </w:p>
        </w:tc>
        <w:tc>
          <w:tcPr>
            <w:tcW w:w="6960" w:type="dxa"/>
            <w:tcBorders>
              <w:top w:val="nil"/>
              <w:left w:val="nil"/>
              <w:bottom w:val="nil"/>
              <w:right w:val="nil"/>
            </w:tcBorders>
          </w:tcPr>
          <w:p w:rsidR="00E8339A" w:rsidRDefault="00AB1A14">
            <w:pPr>
              <w:pStyle w:val="NewNormal"/>
              <w:rPr>
                <w:lang w:val="en-AU"/>
              </w:rPr>
            </w:pPr>
            <w:r>
              <w:rPr>
                <w:b/>
                <w:lang w:val="en-AU"/>
              </w:rPr>
              <w:t>(03) 9799 0977</w:t>
            </w:r>
          </w:p>
        </w:tc>
      </w:tr>
      <w:bookmarkEnd w:id="4"/>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7D7A92" w:rsidRDefault="007D7A92" w:rsidP="007D7A92">
      <w:pPr>
        <w:pStyle w:val="NewNormal"/>
        <w:rPr>
          <w:rFonts w:cs="Arial"/>
          <w:lang w:val="en-AU"/>
        </w:rPr>
      </w:pPr>
      <w:r w:rsidRPr="00E31F6C">
        <w:rPr>
          <w:rFonts w:cs="Arial"/>
          <w:b/>
          <w:lang w:val="en-AU"/>
        </w:rPr>
        <w:t>This material is hazardous according to health criteria of Safe Work Australia.</w:t>
      </w:r>
    </w:p>
    <w:p w:rsidR="007D7A92" w:rsidRPr="00B06937" w:rsidRDefault="007D7A92" w:rsidP="007D7A92">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8339A">
        <w:tc>
          <w:tcPr>
            <w:tcW w:w="9242" w:type="dxa"/>
          </w:tcPr>
          <w:p w:rsidR="007D7A92" w:rsidRDefault="007D7A92" w:rsidP="00831CB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7198" cy="7199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p>
        </w:tc>
      </w:tr>
    </w:tbl>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sidRPr="00B06937">
        <w:rPr>
          <w:rFonts w:cs="Arial"/>
          <w:b/>
          <w:lang w:val="en-AU"/>
        </w:rPr>
        <w:t>Signal Word</w:t>
      </w:r>
    </w:p>
    <w:p w:rsidR="00E8339A" w:rsidRDefault="00AB1A14">
      <w:pPr>
        <w:pStyle w:val="NewNormal"/>
        <w:rPr>
          <w:rFonts w:cs="Arial"/>
          <w:lang w:val="en-AU"/>
        </w:rPr>
      </w:pPr>
      <w:r>
        <w:rPr>
          <w:rFonts w:cs="Arial"/>
          <w:lang w:val="en-AU"/>
        </w:rPr>
        <w:t>Danger</w:t>
      </w:r>
    </w:p>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Pr>
          <w:rFonts w:cs="Arial"/>
          <w:b/>
          <w:lang w:val="en-AU"/>
        </w:rPr>
        <w:t>Hazard Classification</w:t>
      </w:r>
    </w:p>
    <w:p w:rsidR="00E8339A" w:rsidRDefault="00AB1A14">
      <w:pPr>
        <w:pStyle w:val="NewNormal"/>
        <w:rPr>
          <w:rFonts w:cs="Arial"/>
          <w:lang w:val="en-AU"/>
        </w:rPr>
      </w:pPr>
      <w:r>
        <w:rPr>
          <w:rFonts w:cs="Arial"/>
          <w:lang w:val="en-AU"/>
        </w:rPr>
        <w:t>Aspiration Hazard - Category 1</w:t>
      </w:r>
    </w:p>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sidRPr="00A23748">
        <w:rPr>
          <w:b/>
          <w:snapToGrid w:val="0"/>
          <w:color w:val="000000"/>
          <w:lang w:val="en-AU"/>
        </w:rPr>
        <w:t>Hazard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E8339A">
        <w:tc>
          <w:tcPr>
            <w:tcW w:w="1526" w:type="dxa"/>
          </w:tcPr>
          <w:p w:rsidR="007D7A92" w:rsidRPr="002F5099" w:rsidRDefault="006A0DCE" w:rsidP="00831CBA">
            <w:pPr>
              <w:pStyle w:val="NewNormal"/>
              <w:rPr>
                <w:rFonts w:cs="Arial"/>
                <w:lang w:val="en-AU"/>
              </w:rPr>
            </w:pPr>
            <w:r>
              <w:rPr>
                <w:rFonts w:cs="Arial"/>
                <w:lang w:val="en-AU"/>
              </w:rPr>
              <w:t>H304</w:t>
            </w:r>
          </w:p>
        </w:tc>
        <w:tc>
          <w:tcPr>
            <w:tcW w:w="7716" w:type="dxa"/>
          </w:tcPr>
          <w:p w:rsidR="007D7A92" w:rsidRPr="002F5099" w:rsidRDefault="006A0DCE" w:rsidP="00831CBA">
            <w:pPr>
              <w:pStyle w:val="NewNormal"/>
              <w:rPr>
                <w:rFonts w:cs="Arial"/>
                <w:lang w:val="en-AU"/>
              </w:rPr>
            </w:pPr>
            <w:r>
              <w:rPr>
                <w:rFonts w:cs="Arial"/>
                <w:lang w:val="en-AU"/>
              </w:rPr>
              <w:t>May be fatal if swallowed and enters airways.</w:t>
            </w:r>
          </w:p>
        </w:tc>
      </w:tr>
    </w:tbl>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E8339A">
        <w:tc>
          <w:tcPr>
            <w:tcW w:w="1526" w:type="dxa"/>
          </w:tcPr>
          <w:p w:rsidR="007D7A92" w:rsidRPr="00193A68" w:rsidRDefault="006A0DCE" w:rsidP="00831CBA">
            <w:pPr>
              <w:pStyle w:val="NewNormal"/>
              <w:rPr>
                <w:rFonts w:cs="Arial"/>
                <w:lang w:val="en-AU"/>
              </w:rPr>
            </w:pPr>
            <w:r>
              <w:rPr>
                <w:rFonts w:cs="Arial"/>
                <w:lang w:val="en-AU"/>
              </w:rPr>
              <w:t>P102</w:t>
            </w:r>
          </w:p>
        </w:tc>
        <w:tc>
          <w:tcPr>
            <w:tcW w:w="7716" w:type="dxa"/>
          </w:tcPr>
          <w:p w:rsidR="007D7A92" w:rsidRPr="00193A68" w:rsidRDefault="006A0DCE" w:rsidP="00831CBA">
            <w:pPr>
              <w:pStyle w:val="NewNormal"/>
              <w:rPr>
                <w:rFonts w:cs="Arial"/>
                <w:lang w:val="en-AU"/>
              </w:rPr>
            </w:pPr>
            <w:r>
              <w:rPr>
                <w:rFonts w:cs="Arial"/>
                <w:lang w:val="en-AU"/>
              </w:rPr>
              <w:t>Keep out of reach of children.</w:t>
            </w:r>
          </w:p>
        </w:tc>
      </w:tr>
      <w:tr w:rsidR="00E8339A">
        <w:tc>
          <w:tcPr>
            <w:tcW w:w="1526" w:type="dxa"/>
          </w:tcPr>
          <w:p w:rsidR="007D7A92" w:rsidRPr="00193A68" w:rsidRDefault="006A0DCE" w:rsidP="00831CBA">
            <w:pPr>
              <w:pStyle w:val="NewNormal"/>
              <w:rPr>
                <w:rFonts w:cs="Arial"/>
                <w:lang w:val="en-AU"/>
              </w:rPr>
            </w:pPr>
            <w:r>
              <w:rPr>
                <w:rFonts w:cs="Arial"/>
                <w:lang w:val="en-AU"/>
              </w:rPr>
              <w:t>P103</w:t>
            </w:r>
          </w:p>
        </w:tc>
        <w:tc>
          <w:tcPr>
            <w:tcW w:w="7716" w:type="dxa"/>
          </w:tcPr>
          <w:p w:rsidR="007D7A92" w:rsidRPr="00193A68" w:rsidRDefault="006A0DCE" w:rsidP="00831CBA">
            <w:pPr>
              <w:pStyle w:val="NewNormal"/>
              <w:rPr>
                <w:rFonts w:cs="Arial"/>
                <w:lang w:val="en-AU"/>
              </w:rPr>
            </w:pPr>
            <w:r>
              <w:rPr>
                <w:rFonts w:cs="Arial"/>
                <w:lang w:val="en-AU"/>
              </w:rPr>
              <w:t>Read label before use.</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E8339A">
        <w:tc>
          <w:tcPr>
            <w:tcW w:w="1526" w:type="dxa"/>
          </w:tcPr>
          <w:p w:rsidR="007D7A92" w:rsidRPr="00475555" w:rsidRDefault="006A0DCE" w:rsidP="00831CBA">
            <w:pPr>
              <w:pStyle w:val="NewNormal"/>
              <w:rPr>
                <w:rFonts w:cs="Arial"/>
                <w:lang w:val="en-AU"/>
              </w:rPr>
            </w:pPr>
            <w:r>
              <w:rPr>
                <w:rFonts w:cs="Arial"/>
                <w:lang w:val="en-AU"/>
              </w:rPr>
              <w:t>P101</w:t>
            </w:r>
          </w:p>
        </w:tc>
        <w:tc>
          <w:tcPr>
            <w:tcW w:w="7716" w:type="dxa"/>
          </w:tcPr>
          <w:p w:rsidR="007D7A92" w:rsidRPr="00475555" w:rsidRDefault="006A0DCE" w:rsidP="00831CBA">
            <w:pPr>
              <w:pStyle w:val="NewNormal"/>
              <w:rPr>
                <w:rFonts w:cs="Arial"/>
                <w:lang w:val="en-AU"/>
              </w:rPr>
            </w:pPr>
            <w:r>
              <w:rPr>
                <w:rFonts w:cs="Arial"/>
                <w:lang w:val="en-AU"/>
              </w:rPr>
              <w:t>If medical advice is needed, have product container or label at hand.</w:t>
            </w:r>
          </w:p>
        </w:tc>
      </w:tr>
      <w:tr w:rsidR="00E8339A">
        <w:tc>
          <w:tcPr>
            <w:tcW w:w="1526" w:type="dxa"/>
          </w:tcPr>
          <w:p w:rsidR="007D7A92" w:rsidRPr="00475555" w:rsidRDefault="006A0DCE" w:rsidP="00831CBA">
            <w:pPr>
              <w:pStyle w:val="NewNormal"/>
              <w:rPr>
                <w:rFonts w:cs="Arial"/>
                <w:lang w:val="en-AU"/>
              </w:rPr>
            </w:pPr>
            <w:r>
              <w:rPr>
                <w:rFonts w:cs="Arial"/>
                <w:lang w:val="en-AU"/>
              </w:rPr>
              <w:t>P301+P310</w:t>
            </w:r>
          </w:p>
        </w:tc>
        <w:tc>
          <w:tcPr>
            <w:tcW w:w="7716" w:type="dxa"/>
          </w:tcPr>
          <w:p w:rsidR="007D7A92" w:rsidRPr="00475555" w:rsidRDefault="006A0DCE" w:rsidP="00831CBA">
            <w:pPr>
              <w:pStyle w:val="NewNormal"/>
              <w:rPr>
                <w:rFonts w:cs="Arial"/>
                <w:lang w:val="en-AU"/>
              </w:rPr>
            </w:pPr>
            <w:r>
              <w:rPr>
                <w:rFonts w:cs="Arial"/>
                <w:lang w:val="en-AU"/>
              </w:rPr>
              <w:t>IF SWALLOWED: Immediately call a POISON CENTER or doctor/physician.</w:t>
            </w:r>
          </w:p>
        </w:tc>
      </w:tr>
      <w:tr w:rsidR="00E8339A">
        <w:tc>
          <w:tcPr>
            <w:tcW w:w="1526" w:type="dxa"/>
          </w:tcPr>
          <w:p w:rsidR="007D7A92" w:rsidRPr="00475555" w:rsidRDefault="006A0DCE" w:rsidP="00831CBA">
            <w:pPr>
              <w:pStyle w:val="NewNormal"/>
              <w:rPr>
                <w:rFonts w:cs="Arial"/>
                <w:lang w:val="en-AU"/>
              </w:rPr>
            </w:pPr>
            <w:r>
              <w:rPr>
                <w:rFonts w:cs="Arial"/>
                <w:lang w:val="en-AU"/>
              </w:rPr>
              <w:t>P331</w:t>
            </w:r>
          </w:p>
        </w:tc>
        <w:tc>
          <w:tcPr>
            <w:tcW w:w="7716" w:type="dxa"/>
          </w:tcPr>
          <w:p w:rsidR="007D7A92" w:rsidRPr="00475555" w:rsidRDefault="006A0DCE" w:rsidP="00831CBA">
            <w:pPr>
              <w:pStyle w:val="NewNormal"/>
              <w:rPr>
                <w:rFonts w:cs="Arial"/>
                <w:lang w:val="en-AU"/>
              </w:rPr>
            </w:pPr>
            <w:r>
              <w:rPr>
                <w:rFonts w:cs="Arial"/>
                <w:lang w:val="en-AU"/>
              </w:rPr>
              <w:t>Do NOT induce vomiting.</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Storage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E8339A">
        <w:tc>
          <w:tcPr>
            <w:tcW w:w="1526" w:type="dxa"/>
          </w:tcPr>
          <w:p w:rsidR="007D7A92" w:rsidRPr="00475555" w:rsidRDefault="006A0DCE" w:rsidP="00831CBA">
            <w:pPr>
              <w:pStyle w:val="NewNormal"/>
              <w:rPr>
                <w:rFonts w:cs="Arial"/>
                <w:lang w:val="en-AU"/>
              </w:rPr>
            </w:pPr>
            <w:r>
              <w:rPr>
                <w:rFonts w:cs="Arial"/>
                <w:lang w:val="en-AU"/>
              </w:rPr>
              <w:t>P405</w:t>
            </w:r>
          </w:p>
        </w:tc>
        <w:tc>
          <w:tcPr>
            <w:tcW w:w="7716" w:type="dxa"/>
          </w:tcPr>
          <w:p w:rsidR="007D7A92" w:rsidRPr="00475555" w:rsidRDefault="006A0DCE" w:rsidP="00831CBA">
            <w:pPr>
              <w:pStyle w:val="NewNormal"/>
              <w:rPr>
                <w:rFonts w:cs="Arial"/>
                <w:lang w:val="en-AU"/>
              </w:rPr>
            </w:pPr>
            <w:r>
              <w:rPr>
                <w:rFonts w:cs="Arial"/>
                <w:lang w:val="en-AU"/>
              </w:rPr>
              <w:t>Store locked up.</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E8339A">
        <w:tc>
          <w:tcPr>
            <w:tcW w:w="1526" w:type="dxa"/>
          </w:tcPr>
          <w:p w:rsidR="007D7A92" w:rsidRPr="00475555" w:rsidRDefault="006A0DCE" w:rsidP="00831CBA">
            <w:pPr>
              <w:pStyle w:val="NewNormal"/>
              <w:rPr>
                <w:rFonts w:cs="Arial"/>
                <w:lang w:val="en-AU"/>
              </w:rPr>
            </w:pPr>
            <w:r>
              <w:rPr>
                <w:rFonts w:cs="Arial"/>
                <w:lang w:val="en-AU"/>
              </w:rPr>
              <w:t>P501</w:t>
            </w:r>
          </w:p>
        </w:tc>
        <w:tc>
          <w:tcPr>
            <w:tcW w:w="7716" w:type="dxa"/>
          </w:tcPr>
          <w:p w:rsidR="007D7A92" w:rsidRPr="00475555" w:rsidRDefault="006A0DCE" w:rsidP="00831CBA">
            <w:pPr>
              <w:pStyle w:val="NewNormal"/>
              <w:rPr>
                <w:rFonts w:cs="Arial"/>
                <w:lang w:val="en-AU"/>
              </w:rPr>
            </w:pPr>
            <w:r>
              <w:rPr>
                <w:rFonts w:cs="Arial"/>
                <w:lang w:val="en-AU"/>
              </w:rPr>
              <w:t>Dispose of contents/container in accordance with local, regional, national and international regulations.</w:t>
            </w:r>
          </w:p>
        </w:tc>
      </w:tr>
    </w:tbl>
    <w:p w:rsidR="007D7A92" w:rsidRPr="00B06937" w:rsidRDefault="007D7A92" w:rsidP="00B06937">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S5. Caution</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533E02">
      <w:pPr>
        <w:pStyle w:val="NewNormal"/>
        <w:rPr>
          <w:rFonts w:cs="Arial"/>
          <w:lang w:val="en-AU"/>
        </w:rPr>
      </w:pPr>
      <w:r w:rsidRPr="00DB4472">
        <w:rPr>
          <w:rFonts w:cs="Arial"/>
          <w:lang w:val="en-AU"/>
        </w:rPr>
        <w:t xml:space="preserve">Not classified as Dangerous Goods by the </w:t>
      </w:r>
      <w:r w:rsidR="00176969">
        <w:rPr>
          <w:rFonts w:cs="Arial"/>
          <w:lang w:val="en-AU"/>
        </w:rPr>
        <w:t xml:space="preserve">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Pr="00DB4472">
        <w:rPr>
          <w:rFonts w:cs="Arial"/>
          <w:lang w:val="en-AU"/>
        </w:rPr>
        <w:t xml:space="preserve"> and the </w:t>
      </w:r>
      <w:r w:rsidR="00176969" w:rsidRPr="00176969">
        <w:rPr>
          <w:rFonts w:cs="Arial"/>
          <w:lang w:val="en-AU"/>
        </w:rPr>
        <w:t>"</w:t>
      </w:r>
      <w:r w:rsidRPr="00DB4472">
        <w:rPr>
          <w:rFonts w:cs="Arial"/>
          <w:lang w:val="en-AU"/>
        </w:rPr>
        <w:t>New Zealand NZS5433: Trans</w:t>
      </w:r>
      <w:r w:rsidR="00176969">
        <w:rPr>
          <w:rFonts w:cs="Arial"/>
          <w:lang w:val="en-AU"/>
        </w:rPr>
        <w:t>port of Dangerous Goods on Land</w:t>
      </w:r>
      <w:r w:rsidR="00176969" w:rsidRPr="00176969">
        <w:rPr>
          <w:rFonts w:cs="Arial"/>
          <w:lang w:val="en-AU"/>
        </w:rPr>
        <w:t>"</w:t>
      </w:r>
      <w:r w:rsidRPr="00DB4472">
        <w:rPr>
          <w:rFonts w:cs="Arial"/>
          <w:lang w:val="en-AU"/>
        </w:rPr>
        <w:t>.</w:t>
      </w:r>
    </w:p>
    <w:p w:rsidR="00D13D81" w:rsidRDefault="00D13D81" w:rsidP="00D13D81">
      <w:pPr>
        <w:pStyle w:val="NewNormal"/>
        <w:tabs>
          <w:tab w:val="left" w:pos="975"/>
        </w:tabs>
        <w:rPr>
          <w:rFonts w:cs="Arial"/>
          <w:lang w:val="en-AU"/>
        </w:rPr>
      </w:pPr>
    </w:p>
    <w:p w:rsidR="00D13D81" w:rsidRDefault="00D13D81" w:rsidP="00D13D81">
      <w:pPr>
        <w:pStyle w:val="NewNormal"/>
        <w:tabs>
          <w:tab w:val="left" w:pos="975"/>
        </w:tabs>
        <w:rPr>
          <w:rFonts w:cs="Arial"/>
          <w:lang w:val="en-AU"/>
        </w:rPr>
      </w:pPr>
      <w:r w:rsidRPr="005D1B1F">
        <w:rPr>
          <w:rFonts w:cs="Arial"/>
          <w:lang w:val="en-AU"/>
        </w:rPr>
        <w:t xml:space="preserve">Classified as a </w:t>
      </w:r>
      <w:r>
        <w:rPr>
          <w:rFonts w:cs="Arial"/>
          <w:lang w:val="en-AU"/>
        </w:rPr>
        <w:t>C1</w:t>
      </w:r>
      <w:r w:rsidRPr="005D1B1F">
        <w:rPr>
          <w:rFonts w:cs="Arial"/>
          <w:lang w:val="en-AU"/>
        </w:rPr>
        <w:t xml:space="preserve"> (COMBUSTIBLE LIQUID) for the purpose of storage and handling, in accordance with the requirements of AS 1940.  Refer to State Regulations for stora</w:t>
      </w:r>
      <w:r>
        <w:rPr>
          <w:rFonts w:cs="Arial"/>
          <w:lang w:val="en-AU"/>
        </w:rPr>
        <w:t>ge and transport requirements.</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E8339A">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E8339A">
        <w:tc>
          <w:tcPr>
            <w:tcW w:w="6946" w:type="dxa"/>
          </w:tcPr>
          <w:p w:rsidR="000A640B" w:rsidRDefault="006A0DCE" w:rsidP="007776FB">
            <w:pPr>
              <w:pStyle w:val="NewNormal"/>
              <w:rPr>
                <w:rFonts w:cs="Arial"/>
                <w:lang w:val="en-AU"/>
              </w:rPr>
            </w:pPr>
            <w:r>
              <w:rPr>
                <w:rFonts w:cs="Arial"/>
                <w:lang w:val="en-AU"/>
              </w:rPr>
              <w:t>Distillates, petroleum, hydrotreated light</w:t>
            </w:r>
          </w:p>
        </w:tc>
        <w:tc>
          <w:tcPr>
            <w:tcW w:w="1560" w:type="dxa"/>
          </w:tcPr>
          <w:p w:rsidR="00E8339A" w:rsidRDefault="00AB1A14">
            <w:pPr>
              <w:pStyle w:val="NewNormal"/>
              <w:rPr>
                <w:rFonts w:cs="Arial"/>
                <w:lang w:val="en-AU"/>
              </w:rPr>
            </w:pPr>
            <w:r>
              <w:rPr>
                <w:rFonts w:cs="Arial"/>
                <w:lang w:val="en-AU"/>
              </w:rPr>
              <w:t>64742-47-8</w:t>
            </w:r>
          </w:p>
        </w:tc>
        <w:tc>
          <w:tcPr>
            <w:tcW w:w="1842" w:type="dxa"/>
          </w:tcPr>
          <w:p w:rsidR="000A640B" w:rsidRDefault="006A0DCE" w:rsidP="003C69E2">
            <w:pPr>
              <w:pStyle w:val="NewNormal"/>
              <w:jc w:val="right"/>
              <w:rPr>
                <w:rFonts w:cs="Arial"/>
                <w:lang w:val="en-AU"/>
              </w:rPr>
            </w:pPr>
            <w:r>
              <w:rPr>
                <w:rFonts w:cs="Arial"/>
                <w:lang w:val="en-AU"/>
              </w:rPr>
              <w:t>70 - 100</w:t>
            </w:r>
            <w:r w:rsidR="000A640B">
              <w:rPr>
                <w:rFonts w:cs="Arial"/>
                <w:lang w:val="en-AU"/>
              </w:rPr>
              <w:t xml:space="preserve"> </w:t>
            </w:r>
            <w:r>
              <w:rPr>
                <w:rFonts w:cs="Arial"/>
                <w:lang w:val="en-AU"/>
              </w:rPr>
              <w:t>% (w/w)</w:t>
            </w:r>
          </w:p>
        </w:tc>
      </w:tr>
      <w:tr w:rsidR="00E8339A">
        <w:tc>
          <w:tcPr>
            <w:tcW w:w="6946" w:type="dxa"/>
          </w:tcPr>
          <w:p w:rsidR="000A640B" w:rsidRDefault="006A0DCE" w:rsidP="007776FB">
            <w:pPr>
              <w:pStyle w:val="NewNormal"/>
              <w:rPr>
                <w:rFonts w:cs="Arial"/>
                <w:lang w:val="en-AU"/>
              </w:rPr>
            </w:pPr>
            <w:r>
              <w:rPr>
                <w:rFonts w:cs="Arial"/>
                <w:lang w:val="en-AU"/>
              </w:rPr>
              <w:t>Ingredients determined to be Non-Hazardous</w:t>
            </w:r>
          </w:p>
        </w:tc>
        <w:tc>
          <w:tcPr>
            <w:tcW w:w="1560" w:type="dxa"/>
          </w:tcPr>
          <w:p w:rsidR="00E8339A" w:rsidRDefault="00E8339A">
            <w:pPr>
              <w:pStyle w:val="NewNormal"/>
              <w:rPr>
                <w:rFonts w:cs="Arial"/>
                <w:lang w:val="en-AU"/>
              </w:rPr>
            </w:pPr>
          </w:p>
        </w:tc>
        <w:tc>
          <w:tcPr>
            <w:tcW w:w="1842" w:type="dxa"/>
          </w:tcPr>
          <w:p w:rsidR="000A640B" w:rsidRDefault="006A0DCE" w:rsidP="003C69E2">
            <w:pPr>
              <w:pStyle w:val="NewNormal"/>
              <w:jc w:val="right"/>
              <w:rPr>
                <w:rFonts w:cs="Arial"/>
                <w:lang w:val="en-AU"/>
              </w:rPr>
            </w:pPr>
            <w:r>
              <w:rPr>
                <w:rFonts w:cs="Arial"/>
                <w:lang w:val="en-AU"/>
              </w:rPr>
              <w:t>Balance</w:t>
            </w:r>
            <w:r w:rsidR="000A640B">
              <w:rPr>
                <w:rFonts w:cs="Arial"/>
                <w:lang w:val="en-AU"/>
              </w:rPr>
              <w:t xml:space="preserve"> </w:t>
            </w:r>
          </w:p>
        </w:tc>
      </w:tr>
      <w:tr w:rsidR="00E8339A">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043DB8" w:rsidP="003C69E2">
            <w:pPr>
              <w:pStyle w:val="NewNormal"/>
              <w:jc w:val="right"/>
              <w:rPr>
                <w:rFonts w:cs="Arial"/>
                <w:lang w:val="en-AU"/>
              </w:rPr>
            </w:pPr>
            <w:r>
              <w:rPr>
                <w:rFonts w:cs="Arial"/>
                <w:lang w:val="en-AU"/>
              </w:rPr>
              <w:t>____________</w:t>
            </w:r>
          </w:p>
        </w:tc>
      </w:tr>
      <w:tr w:rsidR="00E8339A">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5D5397" w:rsidP="003C69E2">
            <w:pPr>
              <w:pStyle w:val="NewNormal"/>
              <w:jc w:val="right"/>
              <w:rPr>
                <w:rFonts w:cs="Arial"/>
                <w:lang w:val="en-AU"/>
              </w:rPr>
            </w:pPr>
            <w:r>
              <w:rPr>
                <w:rFonts w:cs="Arial"/>
                <w:lang w:val="en-AU"/>
              </w:rPr>
              <w:t>100%</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Seek medical advice if effects persist.</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003A15E6" w:rsidRPr="00C57F6F">
        <w:rPr>
          <w:rFonts w:cs="Arial"/>
          <w:lang w:val="en-AU"/>
        </w:rPr>
        <w:t>If skin or hair contact occurs, remove contaminated clothing and flush skin and hair with running water.  If swelling, redness, blistering or irritation occurs seek medical assistance.</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wash out immediately with water. In all cases of eye contamination it is a sensible precaution to seek medical advice.</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Immediately 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Immediately call Poisons Centre or Doctor.</w:t>
      </w:r>
      <w:r w:rsidR="00D04930">
        <w:rPr>
          <w:rFonts w:cs="Arial"/>
          <w:lang w:val="en-AU"/>
        </w:rPr>
        <w:t xml:space="preserve">  </w:t>
      </w:r>
    </w:p>
    <w:p w:rsidR="00F74BB7" w:rsidRDefault="00F74BB7" w:rsidP="00B06937">
      <w:pPr>
        <w:pStyle w:val="NewNormal"/>
        <w:rPr>
          <w:rFonts w:cs="Arial"/>
          <w:lang w:val="en-AU"/>
        </w:rPr>
      </w:pPr>
    </w:p>
    <w:p w:rsidR="004E3A54" w:rsidRDefault="00D458DC" w:rsidP="00B06937">
      <w:pPr>
        <w:pStyle w:val="NewNormal"/>
        <w:rPr>
          <w:rFonts w:cs="Arial"/>
          <w:lang w:val="en-AU"/>
        </w:rPr>
      </w:pPr>
      <w:r w:rsidRPr="00660EA9">
        <w:rPr>
          <w:rFonts w:cs="Arial"/>
          <w:b/>
          <w:lang w:val="en-AU"/>
        </w:rPr>
        <w:t xml:space="preserve">PPE for First </w:t>
      </w:r>
      <w:r>
        <w:rPr>
          <w:rFonts w:cs="Arial"/>
          <w:b/>
          <w:lang w:val="en-AU"/>
        </w:rPr>
        <w:t>Aiders</w:t>
      </w:r>
      <w:r w:rsidRPr="002738BF">
        <w:rPr>
          <w:rFonts w:cs="Arial"/>
          <w:b/>
          <w:lang w:val="en-AU"/>
        </w:rPr>
        <w:t>:</w:t>
      </w:r>
      <w:r>
        <w:rPr>
          <w:rFonts w:cs="Arial"/>
          <w:b/>
          <w:lang w:val="en-AU"/>
        </w:rPr>
        <w:t xml:space="preserve"> </w:t>
      </w:r>
      <w:r w:rsidRPr="004E3A54">
        <w:rPr>
          <w:rFonts w:cs="Arial"/>
          <w:lang w:val="en-AU"/>
        </w:rPr>
        <w:t xml:space="preserve"> </w:t>
      </w:r>
      <w:r w:rsidR="004E3A54">
        <w:rPr>
          <w:rFonts w:cs="Arial"/>
          <w:lang w:val="en-AU"/>
        </w:rPr>
        <w:t xml:space="preserve">Wear </w:t>
      </w:r>
      <w:r>
        <w:t>safety shoes, overalls, gloves, safety glasses, respirator</w:t>
      </w:r>
      <w:r w:rsidR="004E3A54">
        <w:rPr>
          <w:rFonts w:cs="Arial"/>
          <w:lang w:val="en-AU"/>
        </w:rPr>
        <w:t xml:space="preserve">.  </w:t>
      </w:r>
      <w:r w:rsidR="004E3A54" w:rsidRPr="00CA4BE2">
        <w:rPr>
          <w:rFonts w:cs="Arial"/>
          <w:lang w:val="en-AU"/>
        </w:rPr>
        <w:t xml:space="preserve">Use with adequate ventilation. </w:t>
      </w:r>
      <w:r w:rsidR="004E3A54">
        <w:rPr>
          <w:rFonts w:cs="Arial"/>
          <w:lang w:val="en-AU"/>
        </w:rPr>
        <w:t xml:space="preserve"> </w:t>
      </w:r>
      <w:r w:rsidR="004E3A54" w:rsidRPr="00CA4BE2">
        <w:rPr>
          <w:rFonts w:cs="Arial"/>
          <w:lang w:val="en-AU"/>
        </w:rPr>
        <w:t>If inhalation risk exists wear organic vapour/particulate respirator meeting the requirements of AS/NZS 1715 and AS/NZS 1716.</w:t>
      </w:r>
      <w:r w:rsidR="004E3A54">
        <w:rPr>
          <w:rFonts w:cs="Arial"/>
          <w:lang w:val="en-AU"/>
        </w:rPr>
        <w:t xml:space="preserve">  </w:t>
      </w:r>
      <w:r w:rsidR="004E3A54" w:rsidRPr="008028B1">
        <w:rPr>
          <w:rFonts w:cs="Arial"/>
          <w:lang w:val="en-AU"/>
        </w:rPr>
        <w:t xml:space="preserve">Available information suggests that gloves made from </w:t>
      </w:r>
      <w:r>
        <w:rPr>
          <w:rFonts w:cs="Arial"/>
          <w:lang w:val="en-AU"/>
        </w:rPr>
        <w:t>nitrile rubber</w:t>
      </w:r>
      <w:r w:rsidR="004E3A54">
        <w:rPr>
          <w:rFonts w:cs="Arial"/>
          <w:lang w:val="en-AU"/>
        </w:rPr>
        <w:t xml:space="preserve"> </w:t>
      </w:r>
      <w:r w:rsidR="004E3A54"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4E3A54">
        <w:rPr>
          <w:rFonts w:cs="Arial"/>
          <w:lang w:val="en-AU"/>
        </w:rPr>
        <w:t>ment before storing or re-using.</w:t>
      </w:r>
    </w:p>
    <w:p w:rsidR="00D458DC" w:rsidRDefault="00D458DC"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000F2A33">
        <w:rPr>
          <w:rFonts w:cs="Arial"/>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sidRPr="008A7E10">
        <w:rPr>
          <w:rFonts w:cs="Arial"/>
          <w:lang w:val="en-AU"/>
        </w:rPr>
        <w:t>Not applicable.</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water fog (or if unavailable fine water spray), alcohol resistant foam, standard foam, dry agent (carbon dioxide, dry chemical powder).</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lastRenderedPageBreak/>
        <w:t>Specific hazards:</w:t>
      </w:r>
      <w:r w:rsidR="00E31E8F">
        <w:rPr>
          <w:rFonts w:cs="Arial"/>
          <w:b/>
          <w:lang w:val="en-AU"/>
        </w:rPr>
        <w:t xml:space="preserve"> </w:t>
      </w:r>
      <w:r w:rsidR="00C77F7F" w:rsidRPr="00C77F7F">
        <w:rPr>
          <w:rFonts w:cs="Arial"/>
          <w:lang w:val="en-AU"/>
        </w:rPr>
        <w:t>Combustible liquid.</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w:t>
      </w:r>
      <w:r w:rsidR="00215A02">
        <w:rPr>
          <w:rFonts w:cs="Arial"/>
          <w:lang w:val="en-AU"/>
        </w:rPr>
        <w:t>Not applicable</w:t>
      </w:r>
      <w:r w:rsidR="005830F9">
        <w:rPr>
          <w:rFonts w:cs="Arial"/>
          <w:lang w:val="en-AU"/>
        </w:rPr>
        <w:t xml:space="preserve">  </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repeated or prolonged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881898">
        <w:rPr>
          <w:rFonts w:cs="Arial"/>
          <w:lang w:val="en-AU"/>
        </w:rPr>
        <w:t>Store locked up.</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9F2D33" w:rsidRDefault="009F2D33" w:rsidP="00B06937">
      <w:pPr>
        <w:pStyle w:val="NewNormal"/>
        <w:rPr>
          <w:rFonts w:cs="Arial"/>
          <w:lang w:val="en-AU"/>
        </w:rPr>
      </w:pPr>
    </w:p>
    <w:p w:rsidR="009347F1" w:rsidRDefault="009347F1" w:rsidP="00B06937">
      <w:pPr>
        <w:pStyle w:val="NewNormal"/>
        <w:rPr>
          <w:rFonts w:cs="Arial"/>
          <w:lang w:val="en-AU"/>
        </w:rPr>
      </w:pPr>
      <w:r w:rsidRPr="009347F1">
        <w:rPr>
          <w:rFonts w:cs="Arial"/>
          <w:lang w:val="en-AU"/>
        </w:rPr>
        <w:t xml:space="preserve">Classified as a </w:t>
      </w:r>
      <w:r>
        <w:rPr>
          <w:rFonts w:cs="Arial"/>
          <w:lang w:val="en-AU"/>
        </w:rPr>
        <w:t>C1</w:t>
      </w:r>
      <w:r w:rsidRPr="009347F1">
        <w:rPr>
          <w:rFonts w:cs="Arial"/>
          <w:lang w:val="en-AU"/>
        </w:rPr>
        <w:t xml:space="preserve"> (COMBUSTIBLE LIQUID) for the purpose of storage and handling, in accordance with the requirements of AS 1940.  Refer to State Regulations for storage and transport requirements.</w:t>
      </w:r>
    </w:p>
    <w:p w:rsidR="009F2D33" w:rsidRDefault="009F2D33" w:rsidP="00B06937">
      <w:pPr>
        <w:pStyle w:val="NewNormal"/>
        <w:rPr>
          <w:rFonts w:cs="Arial"/>
          <w:lang w:val="en-AU"/>
        </w:rPr>
      </w:pPr>
    </w:p>
    <w:p w:rsidR="00DE1A8E" w:rsidRDefault="00DE1A8E" w:rsidP="00B06937">
      <w:pPr>
        <w:pStyle w:val="NewNormal"/>
        <w:rPr>
          <w:rFonts w:cs="Arial"/>
          <w:lang w:val="en-AU"/>
        </w:rPr>
      </w:pPr>
      <w:r>
        <w:rPr>
          <w:rFonts w:cs="Arial"/>
          <w:lang w:val="en-AU"/>
        </w:rPr>
        <w:t>This material is a Scheduled Poison Schedule 5 (Caution) and must be stored, maintained and used in accordance with the relevant regulations.</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3D0EB6" w:rsidRPr="003D0EB6" w:rsidRDefault="003D0EB6" w:rsidP="003D0EB6">
      <w:pPr>
        <w:pStyle w:val="NewNormal"/>
        <w:tabs>
          <w:tab w:val="left" w:pos="945"/>
        </w:tabs>
        <w:rPr>
          <w:rFonts w:cs="Arial"/>
          <w:lang w:val="en-AU"/>
        </w:rPr>
      </w:pPr>
      <w:r w:rsidRPr="00434788">
        <w:rPr>
          <w:rFonts w:cs="Arial"/>
          <w:b/>
          <w:lang w:val="en-AU"/>
        </w:rPr>
        <w:t>National occupational exposure limits:</w:t>
      </w:r>
      <w:r>
        <w:rPr>
          <w:rFonts w:cs="Arial"/>
          <w:b/>
          <w:lang w:val="en-AU"/>
        </w:rPr>
        <w:t xml:space="preserve"> </w:t>
      </w:r>
      <w:r w:rsidRPr="003D0EB6">
        <w:rPr>
          <w:rFonts w:cs="Arial"/>
          <w:lang w:val="en-AU"/>
        </w:rPr>
        <w:t>No value assigned for this specific material by Safe Work Australia.</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Pr="003D0EB6" w:rsidRDefault="00215EA7" w:rsidP="000A692F">
      <w:pPr>
        <w:pStyle w:val="NewNormal"/>
        <w:tabs>
          <w:tab w:val="left" w:pos="945"/>
        </w:tabs>
        <w:rPr>
          <w:rFonts w:cs="Arial"/>
          <w:lang w:val="en-AU"/>
        </w:rPr>
      </w:pPr>
      <w:r w:rsidRPr="00434788">
        <w:rPr>
          <w:rFonts w:cs="Arial"/>
          <w:b/>
          <w:lang w:val="en-AU"/>
        </w:rPr>
        <w:t>Engineering Measure</w:t>
      </w:r>
      <w:r>
        <w:rPr>
          <w:rFonts w:cs="Arial"/>
          <w:b/>
          <w:lang w:val="en-AU"/>
        </w:rPr>
        <w:t>s</w:t>
      </w:r>
      <w:r w:rsidR="000A692F" w:rsidRPr="00434788">
        <w:rPr>
          <w:rFonts w:cs="Arial"/>
          <w:b/>
          <w:lang w:val="en-AU"/>
        </w:rPr>
        <w:t>:</w:t>
      </w:r>
      <w:r w:rsidR="000A692F">
        <w:rPr>
          <w:rFonts w:cs="Arial"/>
          <w:b/>
          <w:lang w:val="en-AU"/>
        </w:rPr>
        <w:t xml:space="preserve"> </w:t>
      </w:r>
      <w:r w:rsidR="000A692F" w:rsidRPr="000A692F">
        <w:rPr>
          <w:rFonts w:cs="Arial"/>
          <w:lang w:val="en-AU"/>
        </w:rPr>
        <w:t>Natural ventilation should be adequa</w:t>
      </w:r>
      <w:r w:rsidR="00836A30">
        <w:rPr>
          <w:rFonts w:cs="Arial"/>
          <w:lang w:val="en-AU"/>
        </w:rPr>
        <w:t>te under normal use conditions.</w:t>
      </w:r>
      <w:r w:rsidR="000A692F">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SAFETY GLASSES, RESPIRATOR</w:t>
      </w:r>
      <w:r w:rsidR="00264347">
        <w:rPr>
          <w:rFonts w:cs="Arial"/>
          <w:lang w:val="en-AU"/>
        </w:rPr>
        <w:t>.</w:t>
      </w:r>
    </w:p>
    <w:p w:rsidR="00E16B7F" w:rsidRDefault="00E16B7F" w:rsidP="001E7B81">
      <w:pPr>
        <w:pStyle w:val="NewNormal"/>
        <w:rPr>
          <w:rFonts w:cs="Arial"/>
          <w:lang w:val="en-AU"/>
        </w:rPr>
      </w:pPr>
    </w:p>
    <w:p w:rsidR="00E63F8A" w:rsidRDefault="00E63F8A" w:rsidP="00E63F8A">
      <w:pPr>
        <w:pStyle w:val="NewNormal"/>
        <w:rPr>
          <w:rFonts w:cs="Arial"/>
          <w:lang w:val="en-AU"/>
        </w:rPr>
      </w:pPr>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CA4BE2" w:rsidRDefault="00CA4BE2" w:rsidP="00CA4BE2">
      <w:pPr>
        <w:pStyle w:val="NewNormal"/>
        <w:rPr>
          <w:rFonts w:cs="Arial"/>
          <w:lang w:val="en-AU"/>
        </w:rPr>
      </w:pPr>
      <w:r>
        <w:rPr>
          <w:rFonts w:cs="Arial"/>
          <w:lang w:val="en-AU"/>
        </w:rPr>
        <w:t xml:space="preserve">Wear </w:t>
      </w:r>
      <w:r w:rsidR="006A0DCE">
        <w:t>safety shoes, overalls, gloves, safety glasses, respirator</w:t>
      </w:r>
      <w:r>
        <w:rPr>
          <w:rFonts w:cs="Arial"/>
          <w:lang w:val="en-AU"/>
        </w:rPr>
        <w:t xml:space="preserve">.  </w:t>
      </w:r>
      <w:r w:rsidRPr="00CA4BE2">
        <w:rPr>
          <w:rFonts w:cs="Arial"/>
          <w:lang w:val="en-AU"/>
        </w:rPr>
        <w:t xml:space="preserve">Use with adequate ventilation. </w:t>
      </w:r>
      <w:r w:rsidR="006A416B">
        <w:rPr>
          <w:rFonts w:cs="Arial"/>
          <w:lang w:val="en-AU"/>
        </w:rPr>
        <w:t xml:space="preserve"> </w:t>
      </w:r>
      <w:r w:rsidRPr="00CA4BE2">
        <w:rPr>
          <w:rFonts w:cs="Arial"/>
          <w:lang w:val="en-AU"/>
        </w:rPr>
        <w:t>If inhalation risk exists wear organic vapour/particulate respirator meeting the requirements of AS/NZS 1715 and AS/NZS 1716.</w:t>
      </w:r>
      <w:r w:rsidR="009F62D4">
        <w:rPr>
          <w:rFonts w:cs="Arial"/>
          <w:lang w:val="en-AU"/>
        </w:rPr>
        <w:t xml:space="preserve">  </w:t>
      </w:r>
      <w:r w:rsidR="002652D8" w:rsidRPr="008028B1">
        <w:rPr>
          <w:rFonts w:cs="Arial"/>
          <w:lang w:val="en-AU"/>
        </w:rPr>
        <w:t xml:space="preserve">Available information suggests that gloves made from </w:t>
      </w:r>
      <w:r w:rsidR="006A0DCE">
        <w:rPr>
          <w:rFonts w:cs="Arial"/>
          <w:lang w:val="en-AU"/>
        </w:rPr>
        <w:t>nitrile rubber</w:t>
      </w:r>
      <w:r w:rsidR="002652D8">
        <w:rPr>
          <w:rFonts w:cs="Arial"/>
          <w:lang w:val="en-AU"/>
        </w:rPr>
        <w:t xml:space="preserve"> </w:t>
      </w:r>
      <w:r w:rsidR="002652D8" w:rsidRPr="00264347">
        <w:rPr>
          <w:rFonts w:cs="Arial"/>
          <w:lang w:val="en-AU"/>
        </w:rPr>
        <w:t xml:space="preserve">should be suitable for intermittent contact.  </w:t>
      </w:r>
      <w:r w:rsidR="002652D8" w:rsidRPr="00264347">
        <w:rPr>
          <w:rFonts w:cs="Arial"/>
          <w:lang w:val="en-AU"/>
        </w:rPr>
        <w:lastRenderedPageBreak/>
        <w:t>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FB4723" w:rsidRDefault="00FB4723" w:rsidP="00264347">
      <w:pPr>
        <w:pStyle w:val="NewNormal"/>
        <w:tabs>
          <w:tab w:val="left" w:pos="7635"/>
        </w:tabs>
        <w:rPr>
          <w:rFonts w:cs="Arial"/>
          <w:b/>
          <w:lang w:val="en-AU"/>
        </w:rPr>
      </w:pP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repeated or prolonged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E8339A">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6A0DCE" w:rsidP="00983E9A">
            <w:pPr>
              <w:pStyle w:val="NewNormal"/>
              <w:rPr>
                <w:rFonts w:cs="Arial"/>
                <w:lang w:val="en-AU"/>
              </w:rPr>
            </w:pPr>
            <w:r>
              <w:rPr>
                <w:rFonts w:cs="Arial"/>
                <w:lang w:val="en-AU"/>
              </w:rPr>
              <w:t>Liquid</w:t>
            </w:r>
          </w:p>
        </w:tc>
      </w:tr>
      <w:tr w:rsidR="00E8339A">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6A0DCE" w:rsidP="00983E9A">
            <w:pPr>
              <w:pStyle w:val="NewNormal"/>
              <w:rPr>
                <w:rFonts w:cs="Arial"/>
                <w:lang w:val="en-AU"/>
              </w:rPr>
            </w:pPr>
            <w:r>
              <w:rPr>
                <w:rFonts w:cs="Arial"/>
                <w:lang w:val="en-AU"/>
              </w:rPr>
              <w:t>Coloured</w:t>
            </w:r>
          </w:p>
        </w:tc>
      </w:tr>
      <w:tr w:rsidR="00E8339A">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6A0DCE" w:rsidP="00983E9A">
            <w:pPr>
              <w:pStyle w:val="NewNormal"/>
              <w:rPr>
                <w:rFonts w:cs="Arial"/>
                <w:lang w:val="en-AU"/>
              </w:rPr>
            </w:pPr>
            <w:r>
              <w:rPr>
                <w:rFonts w:cs="Arial"/>
                <w:lang w:val="en-AU"/>
              </w:rPr>
              <w:t>Slight odour</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E8339A">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6A0DCE" w:rsidP="00446760">
            <w:pPr>
              <w:pStyle w:val="NewNormal"/>
              <w:rPr>
                <w:rFonts w:cs="Arial"/>
                <w:lang w:val="en-AU"/>
              </w:rPr>
            </w:pPr>
            <w:r>
              <w:rPr>
                <w:rFonts w:cs="Arial"/>
                <w:lang w:val="en-AU"/>
              </w:rPr>
              <w:t>Insoluble in water</w:t>
            </w:r>
          </w:p>
        </w:tc>
      </w:tr>
      <w:tr w:rsidR="00E8339A">
        <w:tc>
          <w:tcPr>
            <w:tcW w:w="3936" w:type="dxa"/>
          </w:tcPr>
          <w:p w:rsidR="00BE786E" w:rsidRPr="00BE786E" w:rsidRDefault="00BE786E" w:rsidP="00446760">
            <w:pPr>
              <w:pStyle w:val="NewNormal"/>
              <w:rPr>
                <w:rFonts w:cs="Arial"/>
                <w:lang w:val="en-AU"/>
              </w:rPr>
            </w:pPr>
            <w:r w:rsidRPr="00BE786E">
              <w:rPr>
                <w:rFonts w:cs="Arial"/>
                <w:b/>
                <w:lang w:val="en-AU"/>
              </w:rPr>
              <w:t>Specific Gravity (20 °C):</w:t>
            </w:r>
          </w:p>
        </w:tc>
        <w:tc>
          <w:tcPr>
            <w:tcW w:w="5306" w:type="dxa"/>
          </w:tcPr>
          <w:p w:rsidR="00BE786E" w:rsidRPr="00BE786E" w:rsidRDefault="006A0DCE" w:rsidP="00446760">
            <w:pPr>
              <w:pStyle w:val="NewNormal"/>
              <w:rPr>
                <w:rFonts w:cs="Arial"/>
                <w:lang w:val="en-AU"/>
              </w:rPr>
            </w:pPr>
            <w:r>
              <w:rPr>
                <w:rFonts w:cs="Arial"/>
                <w:lang w:val="en-AU"/>
              </w:rPr>
              <w:t xml:space="preserve">0.9 </w:t>
            </w:r>
          </w:p>
        </w:tc>
      </w:tr>
      <w:tr w:rsidR="00E8339A">
        <w:tc>
          <w:tcPr>
            <w:tcW w:w="3936" w:type="dxa"/>
          </w:tcPr>
          <w:p w:rsidR="00BE786E" w:rsidRPr="00BE786E" w:rsidRDefault="00BE786E" w:rsidP="00446760">
            <w:pPr>
              <w:pStyle w:val="NewNormal"/>
              <w:rPr>
                <w:rFonts w:cs="Arial"/>
                <w:b/>
                <w:lang w:val="en-AU"/>
              </w:rPr>
            </w:pPr>
            <w:r w:rsidRPr="00BE786E">
              <w:rPr>
                <w:rFonts w:cs="Arial"/>
                <w:b/>
                <w:lang w:val="en-AU"/>
              </w:rPr>
              <w:t>Density:</w:t>
            </w:r>
          </w:p>
        </w:tc>
        <w:tc>
          <w:tcPr>
            <w:tcW w:w="5306" w:type="dxa"/>
          </w:tcPr>
          <w:p w:rsidR="00BE786E" w:rsidRPr="00BE786E" w:rsidRDefault="006A0DCE" w:rsidP="00446760">
            <w:pPr>
              <w:pStyle w:val="NewNormal"/>
              <w:rPr>
                <w:rFonts w:cs="Arial"/>
                <w:lang w:val="en-AU"/>
              </w:rPr>
            </w:pPr>
            <w:r>
              <w:rPr>
                <w:rFonts w:cs="Arial"/>
                <w:lang w:val="en-AU"/>
              </w:rPr>
              <w:t>N Av</w:t>
            </w:r>
          </w:p>
        </w:tc>
      </w:tr>
      <w:tr w:rsidR="00E8339A">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6A0DCE" w:rsidP="00446760">
            <w:pPr>
              <w:pStyle w:val="NewNormal"/>
              <w:rPr>
                <w:rFonts w:cs="Arial"/>
                <w:lang w:val="en-AU"/>
              </w:rPr>
            </w:pPr>
            <w:r>
              <w:rPr>
                <w:rFonts w:cs="Arial"/>
                <w:lang w:val="en-AU"/>
              </w:rPr>
              <w:t>N Av</w:t>
            </w:r>
          </w:p>
        </w:tc>
      </w:tr>
      <w:tr w:rsidR="00E8339A">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6A0DCE" w:rsidP="00446760">
            <w:pPr>
              <w:pStyle w:val="NewNormal"/>
              <w:rPr>
                <w:rFonts w:cs="Arial"/>
                <w:lang w:val="en-AU"/>
              </w:rPr>
            </w:pPr>
            <w:r>
              <w:rPr>
                <w:rFonts w:cs="Arial"/>
                <w:lang w:val="en-AU"/>
              </w:rPr>
              <w:t>&lt; 0.1 kPa @ 20°C</w:t>
            </w:r>
          </w:p>
        </w:tc>
      </w:tr>
      <w:tr w:rsidR="00E8339A">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6A0DCE" w:rsidP="00446760">
            <w:pPr>
              <w:pStyle w:val="NewNormal"/>
              <w:rPr>
                <w:rFonts w:cs="Arial"/>
                <w:lang w:val="en-AU"/>
              </w:rPr>
            </w:pPr>
            <w:r>
              <w:rPr>
                <w:rFonts w:cs="Arial"/>
                <w:lang w:val="en-AU"/>
              </w:rPr>
              <w:t>65</w:t>
            </w:r>
          </w:p>
        </w:tc>
      </w:tr>
      <w:tr w:rsidR="00E8339A">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6A0DCE" w:rsidP="003D0D60">
            <w:pPr>
              <w:pStyle w:val="NewNormal"/>
              <w:rPr>
                <w:rFonts w:cs="Arial"/>
                <w:lang w:val="en-AU"/>
              </w:rPr>
            </w:pPr>
            <w:r>
              <w:rPr>
                <w:rFonts w:cs="Arial"/>
                <w:lang w:val="en-AU"/>
              </w:rPr>
              <w:t>1 - 5</w:t>
            </w:r>
          </w:p>
        </w:tc>
      </w:tr>
      <w:tr w:rsidR="00E8339A">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6A0DCE" w:rsidP="00446760">
            <w:pPr>
              <w:pStyle w:val="NewNormal"/>
              <w:rPr>
                <w:rFonts w:cs="Arial"/>
                <w:lang w:val="en-AU"/>
              </w:rPr>
            </w:pPr>
            <w:r>
              <w:rPr>
                <w:rFonts w:cs="Arial"/>
                <w:lang w:val="en-AU"/>
              </w:rPr>
              <w:t>N Av</w:t>
            </w:r>
          </w:p>
        </w:tc>
      </w:tr>
      <w:tr w:rsidR="00E8339A">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6A0DCE" w:rsidP="00446760">
            <w:pPr>
              <w:pStyle w:val="NewNormal"/>
              <w:rPr>
                <w:rFonts w:cs="Arial"/>
                <w:lang w:val="en-AU"/>
              </w:rPr>
            </w:pPr>
            <w:r>
              <w:rPr>
                <w:rFonts w:cs="Arial"/>
                <w:lang w:val="en-AU"/>
              </w:rPr>
              <w:t>N Av</w:t>
            </w:r>
          </w:p>
        </w:tc>
      </w:tr>
      <w:tr w:rsidR="00E8339A">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6A0DCE" w:rsidP="00446760">
            <w:pPr>
              <w:pStyle w:val="NewNormal"/>
              <w:rPr>
                <w:rFonts w:cs="Arial"/>
                <w:lang w:val="en-AU"/>
              </w:rPr>
            </w:pPr>
            <w:r>
              <w:rPr>
                <w:rFonts w:cs="Arial"/>
                <w:lang w:val="en-AU"/>
              </w:rPr>
              <w:t>&gt; 170</w:t>
            </w:r>
          </w:p>
        </w:tc>
      </w:tr>
      <w:tr w:rsidR="00E8339A">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6A0DCE" w:rsidP="00446760">
            <w:pPr>
              <w:pStyle w:val="NewNormal"/>
              <w:rPr>
                <w:rFonts w:cs="Arial"/>
                <w:lang w:val="en-GB"/>
              </w:rPr>
            </w:pPr>
            <w:r>
              <w:rPr>
                <w:rFonts w:cs="Arial"/>
                <w:lang w:val="en-GB"/>
              </w:rPr>
              <w:t>N Av</w:t>
            </w:r>
          </w:p>
        </w:tc>
      </w:tr>
      <w:tr w:rsidR="00E8339A">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6A0DCE" w:rsidP="00446760">
            <w:pPr>
              <w:pStyle w:val="NewNormal"/>
              <w:rPr>
                <w:rFonts w:cs="Arial"/>
                <w:lang w:val="en-AU"/>
              </w:rPr>
            </w:pPr>
            <w:r>
              <w:rPr>
                <w:rFonts w:cs="Arial"/>
                <w:lang w:val="en-AU"/>
              </w:rPr>
              <w:t>N Av</w:t>
            </w:r>
          </w:p>
        </w:tc>
      </w:tr>
      <w:tr w:rsidR="00E8339A">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6A0DCE" w:rsidP="00446760">
            <w:pPr>
              <w:pStyle w:val="NewNormal"/>
              <w:rPr>
                <w:rFonts w:cs="Arial"/>
                <w:lang w:val="en-AU"/>
              </w:rPr>
            </w:pPr>
            <w:r>
              <w:rPr>
                <w:rFonts w:cs="Arial"/>
                <w:lang w:val="en-AU"/>
              </w:rPr>
              <w:t>N Av</w:t>
            </w:r>
          </w:p>
        </w:tc>
      </w:tr>
      <w:tr w:rsidR="00E8339A">
        <w:tc>
          <w:tcPr>
            <w:tcW w:w="3936" w:type="dxa"/>
          </w:tcPr>
          <w:p w:rsidR="00D42363" w:rsidRPr="00D42363" w:rsidRDefault="00D42363" w:rsidP="00446760">
            <w:pPr>
              <w:pStyle w:val="NewNormal"/>
              <w:rPr>
                <w:rFonts w:cs="Arial"/>
                <w:lang w:val="en-AU"/>
              </w:rPr>
            </w:pPr>
            <w:r w:rsidRPr="00D42363">
              <w:rPr>
                <w:rFonts w:cs="Arial"/>
                <w:b/>
                <w:lang w:val="en-AU"/>
              </w:rPr>
              <w:t>% Volatile by Volume:</w:t>
            </w:r>
          </w:p>
        </w:tc>
        <w:tc>
          <w:tcPr>
            <w:tcW w:w="5306" w:type="dxa"/>
          </w:tcPr>
          <w:p w:rsidR="00D42363" w:rsidRPr="00D42363" w:rsidRDefault="006A0DCE" w:rsidP="00446760">
            <w:pPr>
              <w:pStyle w:val="NewNormal"/>
              <w:rPr>
                <w:rFonts w:cs="Arial"/>
                <w:lang w:val="en-AU"/>
              </w:rPr>
            </w:pPr>
            <w:r>
              <w:rPr>
                <w:rFonts w:cs="Arial"/>
                <w:lang w:val="en-AU"/>
              </w:rPr>
              <w:t>60</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lang w:val="en-AU"/>
        </w:rPr>
        <w:t>This material is thermally stable when stored and used as directed.</w:t>
      </w:r>
      <w:r w:rsidR="00845DF0">
        <w:rPr>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snapToGrid w:val="0"/>
          <w:color w:val="000000"/>
          <w:lang w:val="en-AU"/>
        </w:rPr>
        <w:t>Elevated temperatures and sources of ignition.</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snapToGrid w:val="0"/>
          <w:color w:val="000000"/>
          <w:lang w:val="en-AU"/>
        </w:rPr>
        <w:t>Oxidising agents.</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sidR="003D5717" w:rsidRPr="003D5717">
        <w:rPr>
          <w:rFonts w:cs="Arial"/>
          <w:lang w:val="en-AU"/>
        </w:rPr>
        <w:t>Oxides of carbon and nitrogen, smoke and other toxic fumes</w:t>
      </w:r>
      <w:r w:rsidR="00885BB9" w:rsidRPr="00885BB9">
        <w:rPr>
          <w:rFonts w:cs="Arial"/>
          <w:lang w:val="en-AU"/>
        </w:rPr>
        <w:t>.</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sidRPr="006A5E1A">
        <w:rPr>
          <w:rFonts w:cs="Arial"/>
          <w:lang w:val="en-AU"/>
        </w:rPr>
        <w:t>No known hazardous reactions.</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Material may be an irritant to mucous membranes and respiratory tract.</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A7658">
        <w:rPr>
          <w:rFonts w:cs="Arial"/>
          <w:lang w:val="en-AU"/>
        </w:rPr>
        <w:t>Contact with skin may result in irritation.</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r w:rsidR="000057CE" w:rsidRPr="000057CE">
        <w:rPr>
          <w:rFonts w:cs="Arial"/>
          <w:lang w:val="en-AU"/>
        </w:rPr>
        <w:t>May cause lung damage if swallowed.  Small amounts of liquid aspirated into the respiratory system during ingestion or vomiting may cause bronchopneumonia or pulmonary oedema.</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00014338" w:rsidRPr="00014338">
        <w:rPr>
          <w:rFonts w:cs="Arial"/>
          <w:lang w:val="en-AU"/>
        </w:rPr>
        <w:t>May be 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00A57312" w:rsidRPr="002114F3">
        <w:rPr>
          <w:rFonts w:cs="Arial"/>
          <w:lang w:val="en-AU"/>
        </w:rPr>
        <w:t>This material has been classified as non-hazardous.  Acute toxicity es</w:t>
      </w:r>
      <w:r w:rsidR="00A502CD">
        <w:rPr>
          <w:rFonts w:cs="Arial"/>
          <w:lang w:val="en-AU"/>
        </w:rPr>
        <w:t xml:space="preserve">timate (based on ingredients): </w:t>
      </w:r>
      <w:r w:rsidR="008F47C2">
        <w:rPr>
          <w:rFonts w:cs="Arial"/>
          <w:lang w:val="en-AU"/>
        </w:rPr>
        <w:t xml:space="preserve">LC50 </w:t>
      </w:r>
      <w:r w:rsidR="00A502CD">
        <w:rPr>
          <w:rFonts w:cs="Arial"/>
        </w:rPr>
        <w:t xml:space="preserve">&gt; </w:t>
      </w:r>
      <w:r w:rsidR="00A57312" w:rsidRPr="002114F3">
        <w:rPr>
          <w:rFonts w:cs="Arial"/>
          <w:lang w:val="en-AU"/>
        </w:rPr>
        <w:t>20</w:t>
      </w:r>
      <w:r w:rsidR="00A502CD">
        <w:rPr>
          <w:rFonts w:cs="Arial"/>
          <w:lang w:val="en-AU"/>
        </w:rPr>
        <w:t>.0</w:t>
      </w:r>
      <w:r w:rsidR="00A57312" w:rsidRPr="002114F3">
        <w:rPr>
          <w:rFonts w:cs="Arial"/>
          <w:lang w:val="en-AU"/>
        </w:rPr>
        <w:t xml:space="preserve"> mg/L</w:t>
      </w:r>
      <w:r w:rsidR="00C277C4">
        <w:rPr>
          <w:rFonts w:cs="Arial"/>
          <w:lang w:val="en-AU"/>
        </w:rPr>
        <w:t xml:space="preserve"> </w:t>
      </w:r>
      <w:r w:rsidR="00A502CD">
        <w:rPr>
          <w:rFonts w:cs="Arial"/>
          <w:lang w:val="en-AU"/>
        </w:rPr>
        <w:t>for vapours or</w:t>
      </w:r>
      <w:r w:rsidR="008F47C2">
        <w:rPr>
          <w:rFonts w:cs="Arial"/>
          <w:lang w:val="en-AU"/>
        </w:rPr>
        <w:t xml:space="preserve"> LC50</w:t>
      </w:r>
      <w:r w:rsidR="00A502CD">
        <w:rPr>
          <w:rFonts w:cs="Arial"/>
          <w:lang w:val="en-AU"/>
        </w:rPr>
        <w:t xml:space="preserve"> &gt; 5.0 mg/L for dust and mist</w:t>
      </w:r>
      <w:r w:rsidR="0039265F">
        <w:rPr>
          <w:rFonts w:cs="Arial"/>
          <w:lang w:val="en-AU"/>
        </w:rPr>
        <w:t xml:space="preserve"> or LC50 </w:t>
      </w:r>
      <w:r w:rsidR="0039265F" w:rsidRPr="00A455B3">
        <w:rPr>
          <w:rFonts w:cs="Arial"/>
          <w:lang w:val="en-AU"/>
        </w:rPr>
        <w:t>&gt;</w:t>
      </w:r>
      <w:r w:rsidR="0039265F">
        <w:rPr>
          <w:rFonts w:cs="Arial"/>
          <w:lang w:val="en-AU"/>
        </w:rPr>
        <w:t xml:space="preserve"> </w:t>
      </w:r>
      <w:r w:rsidR="0039265F" w:rsidRPr="00A455B3">
        <w:rPr>
          <w:rFonts w:cs="Arial"/>
          <w:lang w:val="en-AU"/>
        </w:rPr>
        <w:t>20,000 ppm</w:t>
      </w:r>
      <w:r w:rsidR="0039265F">
        <w:rPr>
          <w:rFonts w:cs="Arial"/>
          <w:lang w:val="en-AU"/>
        </w:rPr>
        <w:t xml:space="preserve"> for gas</w:t>
      </w:r>
      <w:r w:rsidR="00A502CD">
        <w:rPr>
          <w:rFonts w:cs="Arial"/>
          <w:lang w:val="en-AU"/>
        </w:rPr>
        <w:t xml:space="preserve"> </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 as non-hazardous.  Acute toxicity estimate (based on ingredients): &gt;2,000 mg/Kg</w:t>
      </w:r>
      <w:r w:rsidR="00DD3F8F">
        <w:rPr>
          <w:rFonts w:cs="Arial"/>
          <w:lang w:val="en-AU"/>
        </w:rPr>
        <w:t xml:space="preserve"> bw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non-hazardous.  Acute toxicity estimate (based on ingredients): &gt;2,000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not corrosive or irritating to eyes.</w:t>
      </w:r>
      <w:r w:rsidR="00E83C46">
        <w:rPr>
          <w:rFonts w:cs="Arial"/>
          <w:lang w:val="en-AU"/>
        </w:rPr>
        <w:t xml:space="preserve">  </w:t>
      </w:r>
      <w:r w:rsidR="00A67A28" w:rsidRPr="00A67A28">
        <w:rPr>
          <w:rFonts w:cs="Arial"/>
          <w:lang w:val="en-AU"/>
        </w:rPr>
        <w:t xml:space="preserve">Skin: this material has been classified as </w:t>
      </w:r>
      <w:r w:rsidR="00E83C46">
        <w:rPr>
          <w:rFonts w:cs="Arial"/>
          <w:lang w:val="en-AU"/>
        </w:rPr>
        <w:t>not corrosive or irritating to s</w:t>
      </w:r>
      <w:r w:rsidR="00A67A28" w:rsidRPr="00A67A28">
        <w:rPr>
          <w:rFonts w:cs="Arial"/>
          <w:lang w:val="en-AU"/>
        </w:rPr>
        <w:t>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w:t>
      </w:r>
      <w:r w:rsidR="00843BBD">
        <w:rPr>
          <w:rFonts w:cs="Arial"/>
          <w:lang w:val="en-AU"/>
        </w:rPr>
        <w:t>lassified as Aspiration Hazard -</w:t>
      </w:r>
      <w:r w:rsidR="00540C70" w:rsidRPr="00540C70">
        <w:rPr>
          <w:rFonts w:cs="Arial"/>
          <w:lang w:val="en-AU"/>
        </w:rPr>
        <w:t xml:space="preserve"> Category 1</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non-hazardous.</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Pr="00470C44">
        <w:rPr>
          <w:rFonts w:cs="Arial"/>
          <w:lang w:val="en-AU"/>
        </w:rPr>
        <w:t>This material has been classified as non-hazardous.</w:t>
      </w:r>
      <w:r w:rsidR="009F2053">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143B26" w:rsidRPr="00143B26">
        <w:rPr>
          <w:rFonts w:cs="Arial"/>
          <w:lang w:val="en-AU"/>
        </w:rPr>
        <w:t>This material has been classified as non-hazardous.  Acute toxicity estimate (based on ingredients): &gt;100 mg/L</w:t>
      </w:r>
      <w:r w:rsidR="00143B26">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5959B5" w:rsidRPr="005959B5">
        <w:rPr>
          <w:rFonts w:cs="Arial"/>
          <w:lang w:val="en-AU"/>
        </w:rPr>
        <w:t>This material has been classified as</w:t>
      </w:r>
      <w:r w:rsidR="005959B5">
        <w:rPr>
          <w:rFonts w:cs="Arial"/>
          <w:lang w:val="en-AU"/>
        </w:rPr>
        <w:t xml:space="preserve"> </w:t>
      </w:r>
      <w:r w:rsidR="005959B5">
        <w:rPr>
          <w:snapToGrid w:val="0"/>
          <w:lang w:val="en-AU"/>
        </w:rPr>
        <w:t>non-hazardous.  Non-rapidly or rapidly degradable substance for which there are adequate chronic toxicity data available OR in the absence of chronic toxicity data, Acute toxicity estimate (based on ingredients): &gt;100 mg/L, where the substance is not rapidly degradable and/or BCF &lt; 500 and/or log K</w:t>
      </w:r>
      <w:r w:rsidR="005959B5">
        <w:rPr>
          <w:snapToGrid w:val="0"/>
          <w:vertAlign w:val="subscript"/>
          <w:lang w:val="en-AU"/>
        </w:rPr>
        <w:t>ow</w:t>
      </w:r>
      <w:r w:rsidR="005959B5">
        <w:rPr>
          <w:snapToGrid w:val="0"/>
          <w:lang w:val="en-AU"/>
        </w:rPr>
        <w:t xml:space="preserve"> </w:t>
      </w:r>
      <w:r w:rsidR="005959B5">
        <w:rPr>
          <w:rFonts w:cs="Arial"/>
          <w:snapToGrid w:val="0"/>
          <w:lang w:val="en-AU"/>
        </w:rPr>
        <w:t>&lt;</w:t>
      </w:r>
      <w:r w:rsidR="005959B5">
        <w:rPr>
          <w:snapToGrid w:val="0"/>
          <w:lang w:val="en-AU"/>
        </w:rPr>
        <w:t xml:space="preserve"> 4.</w:t>
      </w:r>
      <w:r w:rsidR="00922C6D">
        <w:rPr>
          <w:snapToGrid w:val="0"/>
          <w:lang w:val="en-AU"/>
        </w:rPr>
        <w:t xml:space="preserve">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DB4472" w:rsidRDefault="00DB4472" w:rsidP="00B06937">
      <w:pPr>
        <w:pStyle w:val="NewNormal"/>
        <w:rPr>
          <w:rFonts w:cs="Arial"/>
          <w:lang w:val="en-AU"/>
        </w:rPr>
      </w:pPr>
      <w:r w:rsidRPr="00DB4472">
        <w:rPr>
          <w:rFonts w:cs="Arial"/>
          <w:lang w:val="en-AU"/>
        </w:rPr>
        <w:t xml:space="preserve">Not classified as Dangerous Goods by the 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DB4472">
        <w:rPr>
          <w:rFonts w:cs="Arial"/>
          <w:lang w:val="en-AU"/>
        </w:rPr>
        <w:t>New Zealand NZS5433: Transport of Dangerous Goods on Land</w:t>
      </w:r>
      <w:r w:rsidR="00176969" w:rsidRPr="00176969">
        <w:rPr>
          <w:rFonts w:cs="Arial"/>
          <w:lang w:val="en-AU"/>
        </w:rPr>
        <w:t>"</w:t>
      </w:r>
      <w:r w:rsidRPr="00DB4472">
        <w:rPr>
          <w:rFonts w:cs="Arial"/>
          <w:lang w:val="en-AU"/>
        </w:rPr>
        <w:t>.</w:t>
      </w:r>
    </w:p>
    <w:p w:rsidR="00B55CAC" w:rsidRDefault="00B55CAC"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BE451A" w:rsidRDefault="00BE451A" w:rsidP="00B06937">
      <w:pPr>
        <w:pStyle w:val="NewNormal"/>
        <w:rPr>
          <w:rFonts w:cs="Arial"/>
          <w:lang w:val="en-AU"/>
        </w:rPr>
      </w:pPr>
      <w:r w:rsidRPr="00BE451A">
        <w:rPr>
          <w:rFonts w:cs="Arial"/>
          <w:lang w:val="en-AU"/>
        </w:rPr>
        <w:t>Not classified as Dangerous Goods by the criteria of the International Maritime Dangerous Goods Code (IMDG Code) for transport by sea.</w:t>
      </w: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851853" w:rsidRPr="00851853" w:rsidRDefault="00851853" w:rsidP="00851853">
      <w:pPr>
        <w:pStyle w:val="NewNormal"/>
        <w:rPr>
          <w:rFonts w:cs="Arial"/>
          <w:lang w:val="en-AU"/>
        </w:rPr>
      </w:pPr>
      <w:r w:rsidRPr="00851853">
        <w:rPr>
          <w:rFonts w:cs="Arial"/>
          <w:lang w:val="en-AU"/>
        </w:rPr>
        <w:t>Not classified as Dangerous Goods by the criteria of the International Air Transport Association (IATA) Dangerous Goods Regulations for transport by air.</w:t>
      </w: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C025A4" w:rsidRDefault="00C025A4" w:rsidP="00C025A4">
      <w:pPr>
        <w:pStyle w:val="NewNormal"/>
        <w:rPr>
          <w:rFonts w:cs="Arial"/>
          <w:lang w:val="en-AU"/>
        </w:rPr>
      </w:pPr>
      <w:r w:rsidRPr="00047C23">
        <w:rPr>
          <w:rFonts w:cs="Arial"/>
          <w:lang w:val="en-AU"/>
        </w:rPr>
        <w:t>Basel Convention (Hazardous Waste)</w:t>
      </w:r>
    </w:p>
    <w:p w:rsidR="00C025A4" w:rsidRDefault="00C025A4" w:rsidP="00C025A4">
      <w:pPr>
        <w:pStyle w:val="NewNormal"/>
        <w:rPr>
          <w:rFonts w:cs="Arial"/>
          <w:lang w:val="en-AU"/>
        </w:rPr>
      </w:pPr>
      <w:r w:rsidRPr="00047C23">
        <w:rPr>
          <w:rFonts w:cs="Arial"/>
          <w:lang w:val="en-AU"/>
        </w:rPr>
        <w:t>International Convention for the Prevention of Pollution from Ships (MARPOL)</w:t>
      </w:r>
    </w:p>
    <w:p w:rsidR="00851853" w:rsidRPr="00047C23" w:rsidRDefault="00851853" w:rsidP="00B06937">
      <w:pPr>
        <w:pStyle w:val="NewNormal"/>
        <w:rPr>
          <w:rFonts w:cs="Arial"/>
          <w:b/>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5E0250" w:rsidRDefault="00176DB2" w:rsidP="005E0250">
      <w:pPr>
        <w:pStyle w:val="NewNormal"/>
        <w:rPr>
          <w:rFonts w:cs="Arial"/>
          <w:lang w:val="en-AU"/>
        </w:rPr>
      </w:pPr>
      <w:r>
        <w:rPr>
          <w:rFonts w:cs="Arial"/>
          <w:lang w:val="en-AU"/>
        </w:rPr>
        <w:tab/>
      </w:r>
      <w:r w:rsidR="00B43B98" w:rsidRPr="006F49A6">
        <w:rPr>
          <w:rFonts w:cs="Arial"/>
          <w:lang w:val="en-AU"/>
        </w:rPr>
        <w:t>•</w:t>
      </w:r>
      <w:r w:rsidR="00B43B98">
        <w:rPr>
          <w:rFonts w:cs="Arial"/>
          <w:lang w:val="en-AU"/>
        </w:rPr>
        <w:t xml:space="preserve">  </w:t>
      </w:r>
      <w:r w:rsidR="005E0250" w:rsidRPr="00EF5C73">
        <w:rPr>
          <w:rFonts w:cs="Arial"/>
          <w:lang w:val="en-AU"/>
        </w:rPr>
        <w:t>Th</w:t>
      </w:r>
      <w:r w:rsidR="005E0250" w:rsidRPr="00F02E7E">
        <w:rPr>
          <w:rFonts w:cs="Arial"/>
          <w:lang w:val="en-AU"/>
        </w:rPr>
        <w:t>e Standard for the Uniform Scheduling of Medicines and Poisons (</w:t>
      </w:r>
      <w:r w:rsidR="005E0250" w:rsidRPr="005E0250">
        <w:rPr>
          <w:rFonts w:cs="Arial"/>
          <w:lang w:val="en-AU"/>
        </w:rPr>
        <w:t>SUSMP) established under the Thera</w:t>
      </w:r>
      <w:r w:rsidR="005E0250">
        <w:rPr>
          <w:rFonts w:cs="Arial"/>
          <w:lang w:val="en-AU"/>
        </w:rPr>
        <w:t>peutic Goods Act (Commonwealth).</w:t>
      </w:r>
    </w:p>
    <w:p w:rsidR="00FC6A90" w:rsidRDefault="00FC6A90" w:rsidP="00176DB2">
      <w:pPr>
        <w:pStyle w:val="NewNormal"/>
        <w:tabs>
          <w:tab w:val="left" w:pos="0"/>
        </w:tabs>
        <w:rPr>
          <w:rFonts w:cs="Arial"/>
          <w:lang w:val="en-AU"/>
        </w:rPr>
      </w:pPr>
      <w:r>
        <w:rPr>
          <w:rFonts w:cs="Arial"/>
          <w:lang w:val="en-AU"/>
        </w:rPr>
        <w:tab/>
      </w:r>
      <w:r w:rsidRPr="006F49A6">
        <w:rPr>
          <w:rFonts w:cs="Arial"/>
          <w:lang w:val="en-AU"/>
        </w:rPr>
        <w:t>•</w:t>
      </w:r>
      <w:r>
        <w:rPr>
          <w:rFonts w:cs="Arial"/>
          <w:lang w:val="en-AU"/>
        </w:rPr>
        <w:t xml:space="preserve">  </w:t>
      </w:r>
      <w:r w:rsidRPr="00EF5C73">
        <w:rPr>
          <w:rFonts w:cs="Arial"/>
          <w:lang w:val="en-AU"/>
        </w:rPr>
        <w:t>All</w:t>
      </w:r>
      <w:r>
        <w:rPr>
          <w:rFonts w:cs="Arial"/>
          <w:lang w:val="en-AU"/>
        </w:rPr>
        <w:t xml:space="preserve"> </w:t>
      </w:r>
      <w:r w:rsidRPr="00F02E7E">
        <w:rPr>
          <w:rFonts w:cs="Arial"/>
          <w:lang w:val="en-AU"/>
        </w:rPr>
        <w:t>components of this product are listed on or exempt from the Australian Inventory of Chemical Substances (AICS)</w:t>
      </w:r>
      <w:r w:rsidRPr="00EF5C73">
        <w:rPr>
          <w:rFonts w:cs="Arial"/>
          <w:lang w:val="en-AU"/>
        </w:rPr>
        <w:t>.</w:t>
      </w:r>
    </w:p>
    <w:p w:rsidR="00983FA3" w:rsidRDefault="00176DB2" w:rsidP="0036082D">
      <w:pPr>
        <w:pStyle w:val="NewNormal"/>
        <w:rPr>
          <w:rFonts w:cs="Arial"/>
          <w:lang w:val="en-AU"/>
        </w:rPr>
      </w:pPr>
      <w:r>
        <w:rPr>
          <w:rFonts w:cs="Arial"/>
          <w:lang w:val="en-AU"/>
        </w:rPr>
        <w:tab/>
      </w:r>
      <w:r w:rsidR="00851733" w:rsidRPr="006F49A6">
        <w:rPr>
          <w:rFonts w:cs="Arial"/>
          <w:lang w:val="en-AU"/>
        </w:rPr>
        <w:t>•</w:t>
      </w:r>
      <w:r w:rsidR="00851733">
        <w:rPr>
          <w:rFonts w:cs="Arial"/>
          <w:lang w:val="en-AU"/>
        </w:rPr>
        <w:t xml:space="preserve">  </w:t>
      </w:r>
      <w:r w:rsidR="00F02E7E" w:rsidRPr="00F02E7E">
        <w:rPr>
          <w:rFonts w:cs="Arial"/>
          <w:lang w:val="en-AU"/>
        </w:rPr>
        <w:t>All components of this product are listed on or exempt from the New Zealand Inventory of Chemical (NZIoC)</w:t>
      </w:r>
      <w:r w:rsidR="00F02E7E">
        <w:rPr>
          <w:rFonts w:cs="Arial"/>
          <w:lang w:val="en-AU"/>
        </w:rPr>
        <w:t>.</w:t>
      </w:r>
    </w:p>
    <w:p w:rsidR="00851733" w:rsidRDefault="00851733" w:rsidP="00B06937">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E8339A">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6A0DCE" w:rsidP="00B777B6">
            <w:pPr>
              <w:pStyle w:val="NewNormal"/>
              <w:rPr>
                <w:rFonts w:cs="Arial"/>
                <w:lang w:val="en-AU"/>
              </w:rPr>
            </w:pPr>
            <w:r>
              <w:rPr>
                <w:rFonts w:cs="Arial"/>
                <w:lang w:val="en-AU"/>
              </w:rPr>
              <w:t>First issue</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7B760E">
      <w:headerReference w:type="default" r:id="rId12"/>
      <w:footerReference w:type="default" r:id="rId13"/>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DCE" w:rsidRDefault="006A0DCE" w:rsidP="00BC1EC3">
      <w:pPr>
        <w:spacing w:after="0" w:line="240" w:lineRule="auto"/>
      </w:pPr>
      <w:r>
        <w:separator/>
      </w:r>
    </w:p>
  </w:endnote>
  <w:endnote w:type="continuationSeparator" w:id="0">
    <w:p w:rsidR="006A0DCE" w:rsidRDefault="006A0DCE"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E8339A">
      <w:trPr>
        <w:gridAfter w:val="1"/>
        <w:wAfter w:w="10" w:type="dxa"/>
      </w:trPr>
      <w:tc>
        <w:tcPr>
          <w:tcW w:w="6379" w:type="dxa"/>
          <w:gridSpan w:val="3"/>
          <w:tcBorders>
            <w:top w:val="single" w:sz="12" w:space="0" w:color="auto"/>
            <w:left w:val="nil"/>
            <w:bottom w:val="nil"/>
            <w:right w:val="nil"/>
          </w:tcBorders>
          <w:hideMark/>
        </w:tcPr>
        <w:p w:rsidR="00831CBA" w:rsidRDefault="00831CBA">
          <w:pPr>
            <w:pStyle w:val="SubHeading"/>
            <w:ind w:left="1453" w:hanging="1453"/>
          </w:pPr>
          <w:r>
            <w:t>Product Name: DIRECTIONS PLUS DIESEL FUEL COND</w:t>
          </w:r>
        </w:p>
      </w:tc>
      <w:tc>
        <w:tcPr>
          <w:tcW w:w="3828" w:type="dxa"/>
          <w:gridSpan w:val="4"/>
          <w:tcBorders>
            <w:top w:val="single" w:sz="12" w:space="0" w:color="auto"/>
            <w:left w:val="nil"/>
            <w:bottom w:val="nil"/>
            <w:right w:val="nil"/>
          </w:tcBorders>
          <w:hideMark/>
        </w:tcPr>
        <w:p w:rsidR="00831CBA" w:rsidRDefault="00831CBA" w:rsidP="00DC00C8">
          <w:pPr>
            <w:pStyle w:val="SubHeading"/>
            <w:jc w:val="right"/>
          </w:pPr>
          <w:r>
            <w:t xml:space="preserve">Reference No:  </w:t>
          </w:r>
          <w:r>
            <w:rPr>
              <w:lang w:val="en-GB"/>
            </w:rPr>
            <w:t>P00592</w:t>
          </w:r>
        </w:p>
      </w:tc>
    </w:tr>
    <w:tr w:rsidR="00E8339A">
      <w:trPr>
        <w:gridAfter w:val="2"/>
        <w:wAfter w:w="419" w:type="dxa"/>
        <w:trHeight w:hRule="exact" w:val="120"/>
      </w:trPr>
      <w:tc>
        <w:tcPr>
          <w:tcW w:w="3807" w:type="dxa"/>
          <w:tcMar>
            <w:top w:w="0" w:type="dxa"/>
            <w:left w:w="108" w:type="dxa"/>
            <w:bottom w:w="0" w:type="dxa"/>
            <w:right w:w="108" w:type="dxa"/>
          </w:tcMar>
        </w:tcPr>
        <w:p w:rsidR="00831CBA" w:rsidRDefault="00831CBA">
          <w:pPr>
            <w:pStyle w:val="Header"/>
            <w:rPr>
              <w:b/>
              <w:lang w:val="de-DE"/>
            </w:rPr>
          </w:pPr>
        </w:p>
      </w:tc>
      <w:tc>
        <w:tcPr>
          <w:tcW w:w="2867" w:type="dxa"/>
          <w:gridSpan w:val="3"/>
          <w:tcMar>
            <w:top w:w="0" w:type="dxa"/>
            <w:left w:w="108" w:type="dxa"/>
            <w:bottom w:w="0" w:type="dxa"/>
            <w:right w:w="108" w:type="dxa"/>
          </w:tcMar>
        </w:tcPr>
        <w:p w:rsidR="00831CBA" w:rsidRDefault="00831CBA">
          <w:pPr>
            <w:pStyle w:val="Header"/>
            <w:rPr>
              <w:b/>
              <w:lang w:val="de-DE"/>
            </w:rPr>
          </w:pPr>
        </w:p>
      </w:tc>
      <w:tc>
        <w:tcPr>
          <w:tcW w:w="3124" w:type="dxa"/>
          <w:gridSpan w:val="2"/>
          <w:tcMar>
            <w:top w:w="0" w:type="dxa"/>
            <w:left w:w="108" w:type="dxa"/>
            <w:bottom w:w="0" w:type="dxa"/>
            <w:right w:w="108" w:type="dxa"/>
          </w:tcMar>
        </w:tcPr>
        <w:p w:rsidR="00831CBA" w:rsidRDefault="00831CBA">
          <w:pPr>
            <w:pStyle w:val="Header"/>
            <w:jc w:val="right"/>
            <w:rPr>
              <w:b/>
              <w:lang w:val="de-DE"/>
            </w:rPr>
          </w:pPr>
        </w:p>
      </w:tc>
    </w:tr>
    <w:tr w:rsidR="00E8339A">
      <w:tc>
        <w:tcPr>
          <w:tcW w:w="4395" w:type="dxa"/>
          <w:gridSpan w:val="2"/>
          <w:tcMar>
            <w:top w:w="0" w:type="dxa"/>
            <w:left w:w="108" w:type="dxa"/>
            <w:bottom w:w="0" w:type="dxa"/>
            <w:right w:w="108" w:type="dxa"/>
          </w:tcMar>
          <w:hideMark/>
        </w:tcPr>
        <w:p w:rsidR="00831CBA" w:rsidRDefault="00831CBA" w:rsidP="009A1568">
          <w:pPr>
            <w:pStyle w:val="SubHeading"/>
          </w:pPr>
          <w:r>
            <w:t xml:space="preserve">Issued: </w:t>
          </w:r>
          <w:bookmarkStart w:id="6" w:name="ISSUE_DATE"/>
          <w:r>
            <w:t>2017-10-09</w:t>
          </w:r>
          <w:bookmarkEnd w:id="6"/>
        </w:p>
      </w:tc>
      <w:tc>
        <w:tcPr>
          <w:tcW w:w="2289" w:type="dxa"/>
          <w:gridSpan w:val="3"/>
          <w:tcMar>
            <w:top w:w="0" w:type="dxa"/>
            <w:left w:w="108" w:type="dxa"/>
            <w:bottom w:w="0" w:type="dxa"/>
            <w:right w:w="108" w:type="dxa"/>
          </w:tcMar>
          <w:hideMark/>
        </w:tcPr>
        <w:p w:rsidR="00831CBA" w:rsidRDefault="00831CBA">
          <w:pPr>
            <w:pStyle w:val="SubHeading"/>
            <w:ind w:left="345"/>
          </w:pPr>
          <w:r>
            <w:t>Version: 1.0</w:t>
          </w:r>
        </w:p>
      </w:tc>
      <w:tc>
        <w:tcPr>
          <w:tcW w:w="3533" w:type="dxa"/>
          <w:gridSpan w:val="3"/>
          <w:tcMar>
            <w:top w:w="0" w:type="dxa"/>
            <w:left w:w="108" w:type="dxa"/>
            <w:bottom w:w="0" w:type="dxa"/>
            <w:right w:w="108" w:type="dxa"/>
          </w:tcMar>
          <w:hideMark/>
        </w:tcPr>
        <w:p w:rsidR="00831CBA" w:rsidRDefault="00831CBA"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AB1A14">
            <w:rPr>
              <w:noProof/>
            </w:rPr>
            <w:t>4</w:t>
          </w:r>
          <w:r>
            <w:rPr>
              <w:b w:val="0"/>
            </w:rPr>
            <w:fldChar w:fldCharType="end"/>
          </w:r>
          <w:r>
            <w:t xml:space="preserve"> of </w:t>
          </w:r>
          <w:r w:rsidR="00AB1A14">
            <w:fldChar w:fldCharType="begin"/>
          </w:r>
          <w:r w:rsidR="00AB1A14">
            <w:instrText xml:space="preserve"> NUMPAGES  \* Arabic  \* MERGEFORMAT </w:instrText>
          </w:r>
          <w:r w:rsidR="00AB1A14">
            <w:fldChar w:fldCharType="separate"/>
          </w:r>
          <w:r w:rsidR="00AB1A14">
            <w:rPr>
              <w:noProof/>
            </w:rPr>
            <w:t>5</w:t>
          </w:r>
          <w:r w:rsidR="00AB1A14">
            <w:rPr>
              <w:noProof/>
            </w:rPr>
            <w:fldChar w:fldCharType="end"/>
          </w:r>
        </w:p>
      </w:tc>
    </w:tr>
  </w:tbl>
  <w:p w:rsidR="00831CBA" w:rsidRDefault="00831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DCE" w:rsidRDefault="006A0DCE" w:rsidP="00BC1EC3">
      <w:pPr>
        <w:spacing w:after="0" w:line="240" w:lineRule="auto"/>
      </w:pPr>
      <w:r>
        <w:separator/>
      </w:r>
    </w:p>
  </w:footnote>
  <w:footnote w:type="continuationSeparator" w:id="0">
    <w:p w:rsidR="006A0DCE" w:rsidRDefault="006A0DCE"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E8339A">
      <w:tc>
        <w:tcPr>
          <w:tcW w:w="3378" w:type="dxa"/>
          <w:tcBorders>
            <w:top w:val="nil"/>
            <w:left w:val="nil"/>
            <w:bottom w:val="nil"/>
            <w:right w:val="nil"/>
          </w:tcBorders>
          <w:vAlign w:val="center"/>
        </w:tcPr>
        <w:p w:rsidR="00831CBA" w:rsidRDefault="00831CBA"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831CBA" w:rsidRDefault="00831CBA"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5" w:name="HEADER_LOGO"/>
          <w:r>
            <w:rPr>
              <w:rFonts w:ascii="Arial" w:eastAsia="Times New Roman" w:hAnsi="Arial" w:cs="Times New Roman"/>
              <w:b/>
              <w:noProof/>
              <w:sz w:val="36"/>
              <w:szCs w:val="36"/>
              <w:lang w:val="en-AU" w:eastAsia="en-AU"/>
            </w:rPr>
            <w:drawing>
              <wp:inline distT="0" distB="0" distL="0" distR="0">
                <wp:extent cx="1221660" cy="792000"/>
                <wp:effectExtent l="0" t="0" r="0" b="825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21660" cy="792000"/>
                        </a:xfrm>
                        <a:prstGeom prst="rect">
                          <a:avLst/>
                        </a:prstGeom>
                        <a:noFill/>
                        <a:ln>
                          <a:noFill/>
                        </a:ln>
                      </pic:spPr>
                    </pic:pic>
                  </a:graphicData>
                </a:graphic>
              </wp:inline>
            </w:drawing>
          </w:r>
          <w:bookmarkEnd w:id="5"/>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325D"/>
    <w:rsid w:val="000057CE"/>
    <w:rsid w:val="000077D6"/>
    <w:rsid w:val="00010C62"/>
    <w:rsid w:val="00014338"/>
    <w:rsid w:val="00020AB6"/>
    <w:rsid w:val="00031A98"/>
    <w:rsid w:val="000336F4"/>
    <w:rsid w:val="000346DA"/>
    <w:rsid w:val="00036F42"/>
    <w:rsid w:val="00037153"/>
    <w:rsid w:val="000403B0"/>
    <w:rsid w:val="00043B1C"/>
    <w:rsid w:val="00043DB8"/>
    <w:rsid w:val="00044B95"/>
    <w:rsid w:val="00046467"/>
    <w:rsid w:val="00047C23"/>
    <w:rsid w:val="0005497D"/>
    <w:rsid w:val="0005556E"/>
    <w:rsid w:val="000555DF"/>
    <w:rsid w:val="00062EC7"/>
    <w:rsid w:val="0006405A"/>
    <w:rsid w:val="0007085B"/>
    <w:rsid w:val="00072F04"/>
    <w:rsid w:val="00075283"/>
    <w:rsid w:val="000846BA"/>
    <w:rsid w:val="00084777"/>
    <w:rsid w:val="00086360"/>
    <w:rsid w:val="00087B27"/>
    <w:rsid w:val="00090303"/>
    <w:rsid w:val="00095194"/>
    <w:rsid w:val="00097854"/>
    <w:rsid w:val="000A2F83"/>
    <w:rsid w:val="000A308D"/>
    <w:rsid w:val="000A3C7D"/>
    <w:rsid w:val="000A640B"/>
    <w:rsid w:val="000A692F"/>
    <w:rsid w:val="000A6C30"/>
    <w:rsid w:val="000B5BD2"/>
    <w:rsid w:val="000C0159"/>
    <w:rsid w:val="000C43F1"/>
    <w:rsid w:val="000E0D52"/>
    <w:rsid w:val="000E18DF"/>
    <w:rsid w:val="000E5630"/>
    <w:rsid w:val="000E7038"/>
    <w:rsid w:val="000F2A33"/>
    <w:rsid w:val="000F7233"/>
    <w:rsid w:val="000F7C19"/>
    <w:rsid w:val="00100274"/>
    <w:rsid w:val="00105562"/>
    <w:rsid w:val="001058B8"/>
    <w:rsid w:val="00107A74"/>
    <w:rsid w:val="00107C2C"/>
    <w:rsid w:val="0011234D"/>
    <w:rsid w:val="0011358A"/>
    <w:rsid w:val="00113819"/>
    <w:rsid w:val="0011381E"/>
    <w:rsid w:val="00122196"/>
    <w:rsid w:val="00126F27"/>
    <w:rsid w:val="001303C0"/>
    <w:rsid w:val="0013799D"/>
    <w:rsid w:val="00140D80"/>
    <w:rsid w:val="00142AA7"/>
    <w:rsid w:val="00143B26"/>
    <w:rsid w:val="00147424"/>
    <w:rsid w:val="00155D9B"/>
    <w:rsid w:val="00155E2B"/>
    <w:rsid w:val="0015722F"/>
    <w:rsid w:val="00162796"/>
    <w:rsid w:val="00162E86"/>
    <w:rsid w:val="00170121"/>
    <w:rsid w:val="001709A3"/>
    <w:rsid w:val="00171260"/>
    <w:rsid w:val="001713BA"/>
    <w:rsid w:val="00172CA7"/>
    <w:rsid w:val="00173521"/>
    <w:rsid w:val="00174719"/>
    <w:rsid w:val="0017501E"/>
    <w:rsid w:val="00176969"/>
    <w:rsid w:val="00176DB2"/>
    <w:rsid w:val="00186445"/>
    <w:rsid w:val="00187392"/>
    <w:rsid w:val="00187505"/>
    <w:rsid w:val="001909DD"/>
    <w:rsid w:val="00190BB9"/>
    <w:rsid w:val="00190C7F"/>
    <w:rsid w:val="00193A68"/>
    <w:rsid w:val="001974B2"/>
    <w:rsid w:val="001A496A"/>
    <w:rsid w:val="001A6900"/>
    <w:rsid w:val="001B08C3"/>
    <w:rsid w:val="001B0DC2"/>
    <w:rsid w:val="001B4F17"/>
    <w:rsid w:val="001B565D"/>
    <w:rsid w:val="001C0E23"/>
    <w:rsid w:val="001C11BA"/>
    <w:rsid w:val="001C2238"/>
    <w:rsid w:val="001C39D3"/>
    <w:rsid w:val="001C5BAB"/>
    <w:rsid w:val="001D1930"/>
    <w:rsid w:val="001D4CD0"/>
    <w:rsid w:val="001D5B61"/>
    <w:rsid w:val="001E0E42"/>
    <w:rsid w:val="001E63D5"/>
    <w:rsid w:val="001E7B81"/>
    <w:rsid w:val="001F1391"/>
    <w:rsid w:val="001F1CF7"/>
    <w:rsid w:val="001F1E02"/>
    <w:rsid w:val="00206CC9"/>
    <w:rsid w:val="002114F3"/>
    <w:rsid w:val="00215A02"/>
    <w:rsid w:val="00215EA7"/>
    <w:rsid w:val="0021718F"/>
    <w:rsid w:val="002216A5"/>
    <w:rsid w:val="0023089A"/>
    <w:rsid w:val="002350FB"/>
    <w:rsid w:val="00237C16"/>
    <w:rsid w:val="0024012D"/>
    <w:rsid w:val="002409C0"/>
    <w:rsid w:val="00240C1D"/>
    <w:rsid w:val="00241103"/>
    <w:rsid w:val="0024255E"/>
    <w:rsid w:val="00246DBE"/>
    <w:rsid w:val="0025036B"/>
    <w:rsid w:val="00255753"/>
    <w:rsid w:val="00255791"/>
    <w:rsid w:val="0025586B"/>
    <w:rsid w:val="00255DD9"/>
    <w:rsid w:val="00256538"/>
    <w:rsid w:val="00260A55"/>
    <w:rsid w:val="00264347"/>
    <w:rsid w:val="002652D8"/>
    <w:rsid w:val="00271159"/>
    <w:rsid w:val="0027296B"/>
    <w:rsid w:val="002735A9"/>
    <w:rsid w:val="00273640"/>
    <w:rsid w:val="002738BF"/>
    <w:rsid w:val="00275C68"/>
    <w:rsid w:val="00277160"/>
    <w:rsid w:val="00281740"/>
    <w:rsid w:val="002828E2"/>
    <w:rsid w:val="002835D7"/>
    <w:rsid w:val="00291B21"/>
    <w:rsid w:val="00295C1B"/>
    <w:rsid w:val="002A3DEC"/>
    <w:rsid w:val="002A507C"/>
    <w:rsid w:val="002A6342"/>
    <w:rsid w:val="002A7ACC"/>
    <w:rsid w:val="002B34E6"/>
    <w:rsid w:val="002C04C1"/>
    <w:rsid w:val="002C37B0"/>
    <w:rsid w:val="002C7BD1"/>
    <w:rsid w:val="002D427F"/>
    <w:rsid w:val="002D63E7"/>
    <w:rsid w:val="002E0F54"/>
    <w:rsid w:val="002E3E38"/>
    <w:rsid w:val="002E3E83"/>
    <w:rsid w:val="002E4365"/>
    <w:rsid w:val="002E4762"/>
    <w:rsid w:val="002E56A0"/>
    <w:rsid w:val="002E7ECF"/>
    <w:rsid w:val="002F2AA1"/>
    <w:rsid w:val="002F5099"/>
    <w:rsid w:val="002F5740"/>
    <w:rsid w:val="002F642F"/>
    <w:rsid w:val="002F64D5"/>
    <w:rsid w:val="003032FE"/>
    <w:rsid w:val="00304FBF"/>
    <w:rsid w:val="003059F2"/>
    <w:rsid w:val="0030659A"/>
    <w:rsid w:val="0031281F"/>
    <w:rsid w:val="00316E61"/>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0615"/>
    <w:rsid w:val="00376475"/>
    <w:rsid w:val="0038242E"/>
    <w:rsid w:val="003829AD"/>
    <w:rsid w:val="003834F7"/>
    <w:rsid w:val="00383E9D"/>
    <w:rsid w:val="00390A77"/>
    <w:rsid w:val="0039265F"/>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CF3"/>
    <w:rsid w:val="004637CF"/>
    <w:rsid w:val="004643F7"/>
    <w:rsid w:val="00470C44"/>
    <w:rsid w:val="004711FD"/>
    <w:rsid w:val="00471769"/>
    <w:rsid w:val="00473E88"/>
    <w:rsid w:val="00475555"/>
    <w:rsid w:val="00491D1B"/>
    <w:rsid w:val="004967C8"/>
    <w:rsid w:val="004A2498"/>
    <w:rsid w:val="004B3C7B"/>
    <w:rsid w:val="004B460E"/>
    <w:rsid w:val="004B4F4F"/>
    <w:rsid w:val="004B4F58"/>
    <w:rsid w:val="004C6C34"/>
    <w:rsid w:val="004C71D6"/>
    <w:rsid w:val="004D3BB4"/>
    <w:rsid w:val="004D4BC5"/>
    <w:rsid w:val="004E3A54"/>
    <w:rsid w:val="004E4D46"/>
    <w:rsid w:val="004F07F3"/>
    <w:rsid w:val="004F0CF5"/>
    <w:rsid w:val="004F5F68"/>
    <w:rsid w:val="004F7755"/>
    <w:rsid w:val="00501E8D"/>
    <w:rsid w:val="00505282"/>
    <w:rsid w:val="005114E6"/>
    <w:rsid w:val="0051219E"/>
    <w:rsid w:val="005178D1"/>
    <w:rsid w:val="005178D7"/>
    <w:rsid w:val="00520F5B"/>
    <w:rsid w:val="005225CA"/>
    <w:rsid w:val="0052283F"/>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2C25"/>
    <w:rsid w:val="005830F9"/>
    <w:rsid w:val="00585BC2"/>
    <w:rsid w:val="00592EE7"/>
    <w:rsid w:val="005959B5"/>
    <w:rsid w:val="005972F8"/>
    <w:rsid w:val="005A593F"/>
    <w:rsid w:val="005B3F4D"/>
    <w:rsid w:val="005B5BB7"/>
    <w:rsid w:val="005B74AA"/>
    <w:rsid w:val="005C20E6"/>
    <w:rsid w:val="005C4EDF"/>
    <w:rsid w:val="005C67A0"/>
    <w:rsid w:val="005C6DFA"/>
    <w:rsid w:val="005D1B1F"/>
    <w:rsid w:val="005D3AB0"/>
    <w:rsid w:val="005D5397"/>
    <w:rsid w:val="005D5A72"/>
    <w:rsid w:val="005E0250"/>
    <w:rsid w:val="005E06A5"/>
    <w:rsid w:val="005E676D"/>
    <w:rsid w:val="005E68FB"/>
    <w:rsid w:val="005F1997"/>
    <w:rsid w:val="005F3694"/>
    <w:rsid w:val="005F3DFE"/>
    <w:rsid w:val="005F4EB5"/>
    <w:rsid w:val="005F5C53"/>
    <w:rsid w:val="005F7462"/>
    <w:rsid w:val="00601DAE"/>
    <w:rsid w:val="006047EB"/>
    <w:rsid w:val="00625E97"/>
    <w:rsid w:val="0063095B"/>
    <w:rsid w:val="0063488E"/>
    <w:rsid w:val="006351D6"/>
    <w:rsid w:val="006418FC"/>
    <w:rsid w:val="006424B7"/>
    <w:rsid w:val="00643556"/>
    <w:rsid w:val="00645DA6"/>
    <w:rsid w:val="006471E7"/>
    <w:rsid w:val="00652DDE"/>
    <w:rsid w:val="0065429D"/>
    <w:rsid w:val="006546CD"/>
    <w:rsid w:val="00672EE6"/>
    <w:rsid w:val="00676ED2"/>
    <w:rsid w:val="00681715"/>
    <w:rsid w:val="00683431"/>
    <w:rsid w:val="00683581"/>
    <w:rsid w:val="00683B2A"/>
    <w:rsid w:val="006867D6"/>
    <w:rsid w:val="00695C2F"/>
    <w:rsid w:val="0069621D"/>
    <w:rsid w:val="006972A7"/>
    <w:rsid w:val="006A0DCE"/>
    <w:rsid w:val="006A1E76"/>
    <w:rsid w:val="006A416B"/>
    <w:rsid w:val="006A4522"/>
    <w:rsid w:val="006A5CC4"/>
    <w:rsid w:val="006A5E1A"/>
    <w:rsid w:val="006A657A"/>
    <w:rsid w:val="006A6635"/>
    <w:rsid w:val="006A7037"/>
    <w:rsid w:val="006B16B5"/>
    <w:rsid w:val="006B295D"/>
    <w:rsid w:val="006D7304"/>
    <w:rsid w:val="006D7A75"/>
    <w:rsid w:val="006E1B93"/>
    <w:rsid w:val="006F1F71"/>
    <w:rsid w:val="006F49A6"/>
    <w:rsid w:val="006F677E"/>
    <w:rsid w:val="007016C3"/>
    <w:rsid w:val="00704C2A"/>
    <w:rsid w:val="007106DD"/>
    <w:rsid w:val="0071228D"/>
    <w:rsid w:val="0071610A"/>
    <w:rsid w:val="007166EE"/>
    <w:rsid w:val="007179D6"/>
    <w:rsid w:val="0072294D"/>
    <w:rsid w:val="00723E34"/>
    <w:rsid w:val="007257C4"/>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72D9"/>
    <w:rsid w:val="007776FB"/>
    <w:rsid w:val="00781158"/>
    <w:rsid w:val="00781C2C"/>
    <w:rsid w:val="00781F44"/>
    <w:rsid w:val="007825EA"/>
    <w:rsid w:val="00782EA1"/>
    <w:rsid w:val="00783930"/>
    <w:rsid w:val="00783BB2"/>
    <w:rsid w:val="00786FC5"/>
    <w:rsid w:val="00790F05"/>
    <w:rsid w:val="00791940"/>
    <w:rsid w:val="00792E1B"/>
    <w:rsid w:val="0079466A"/>
    <w:rsid w:val="0079646A"/>
    <w:rsid w:val="007A128B"/>
    <w:rsid w:val="007A3D2C"/>
    <w:rsid w:val="007A5B6F"/>
    <w:rsid w:val="007A7C43"/>
    <w:rsid w:val="007B015D"/>
    <w:rsid w:val="007B1352"/>
    <w:rsid w:val="007B1F96"/>
    <w:rsid w:val="007B3B66"/>
    <w:rsid w:val="007B760E"/>
    <w:rsid w:val="007C55A1"/>
    <w:rsid w:val="007D4645"/>
    <w:rsid w:val="007D665D"/>
    <w:rsid w:val="007D7A92"/>
    <w:rsid w:val="007E015F"/>
    <w:rsid w:val="007E7C0F"/>
    <w:rsid w:val="007F1A25"/>
    <w:rsid w:val="007F1F4C"/>
    <w:rsid w:val="007F2CEC"/>
    <w:rsid w:val="007F3217"/>
    <w:rsid w:val="007F4FE4"/>
    <w:rsid w:val="007F53B2"/>
    <w:rsid w:val="007F625E"/>
    <w:rsid w:val="008028B1"/>
    <w:rsid w:val="008066C6"/>
    <w:rsid w:val="00807661"/>
    <w:rsid w:val="00807D48"/>
    <w:rsid w:val="00811F43"/>
    <w:rsid w:val="00814D34"/>
    <w:rsid w:val="008160C8"/>
    <w:rsid w:val="008176FB"/>
    <w:rsid w:val="00821FBE"/>
    <w:rsid w:val="00822721"/>
    <w:rsid w:val="0082386E"/>
    <w:rsid w:val="00824F56"/>
    <w:rsid w:val="00825489"/>
    <w:rsid w:val="008261D4"/>
    <w:rsid w:val="008301FF"/>
    <w:rsid w:val="00831CBA"/>
    <w:rsid w:val="0083363A"/>
    <w:rsid w:val="00834D7E"/>
    <w:rsid w:val="00836A30"/>
    <w:rsid w:val="00841E25"/>
    <w:rsid w:val="00843BBD"/>
    <w:rsid w:val="00845DF0"/>
    <w:rsid w:val="00851733"/>
    <w:rsid w:val="00851853"/>
    <w:rsid w:val="00851A5C"/>
    <w:rsid w:val="00852D02"/>
    <w:rsid w:val="00856918"/>
    <w:rsid w:val="0085794B"/>
    <w:rsid w:val="008620FF"/>
    <w:rsid w:val="008646B7"/>
    <w:rsid w:val="00865C5F"/>
    <w:rsid w:val="00872512"/>
    <w:rsid w:val="00874D92"/>
    <w:rsid w:val="00875349"/>
    <w:rsid w:val="008765DC"/>
    <w:rsid w:val="00877B1A"/>
    <w:rsid w:val="0088083B"/>
    <w:rsid w:val="00880FB9"/>
    <w:rsid w:val="00881898"/>
    <w:rsid w:val="00885BB9"/>
    <w:rsid w:val="00886AC3"/>
    <w:rsid w:val="0089004F"/>
    <w:rsid w:val="00890E01"/>
    <w:rsid w:val="0089311C"/>
    <w:rsid w:val="00894D51"/>
    <w:rsid w:val="00896EBF"/>
    <w:rsid w:val="0089780F"/>
    <w:rsid w:val="008A24DD"/>
    <w:rsid w:val="008A2D4E"/>
    <w:rsid w:val="008A3583"/>
    <w:rsid w:val="008A68EF"/>
    <w:rsid w:val="008A7658"/>
    <w:rsid w:val="008A7E10"/>
    <w:rsid w:val="008B6F53"/>
    <w:rsid w:val="008C538F"/>
    <w:rsid w:val="008C75B4"/>
    <w:rsid w:val="008D064E"/>
    <w:rsid w:val="008D3DD1"/>
    <w:rsid w:val="008D43D2"/>
    <w:rsid w:val="008E3874"/>
    <w:rsid w:val="008F1C4B"/>
    <w:rsid w:val="008F47C2"/>
    <w:rsid w:val="008F57D9"/>
    <w:rsid w:val="008F61D5"/>
    <w:rsid w:val="008F6FAE"/>
    <w:rsid w:val="00902414"/>
    <w:rsid w:val="00906CD9"/>
    <w:rsid w:val="00910367"/>
    <w:rsid w:val="0091243F"/>
    <w:rsid w:val="00920472"/>
    <w:rsid w:val="00920599"/>
    <w:rsid w:val="00921E64"/>
    <w:rsid w:val="00922C6D"/>
    <w:rsid w:val="00923803"/>
    <w:rsid w:val="009347F1"/>
    <w:rsid w:val="009358AA"/>
    <w:rsid w:val="00942E2B"/>
    <w:rsid w:val="00944E5A"/>
    <w:rsid w:val="009517B1"/>
    <w:rsid w:val="0095375F"/>
    <w:rsid w:val="009573AB"/>
    <w:rsid w:val="00973529"/>
    <w:rsid w:val="00976630"/>
    <w:rsid w:val="00977701"/>
    <w:rsid w:val="00980802"/>
    <w:rsid w:val="00982BB4"/>
    <w:rsid w:val="00983E9A"/>
    <w:rsid w:val="00983FA3"/>
    <w:rsid w:val="00985D65"/>
    <w:rsid w:val="0099104C"/>
    <w:rsid w:val="00991395"/>
    <w:rsid w:val="009A0E8D"/>
    <w:rsid w:val="009A1568"/>
    <w:rsid w:val="009A18A7"/>
    <w:rsid w:val="009A2FD2"/>
    <w:rsid w:val="009A325C"/>
    <w:rsid w:val="009A50E6"/>
    <w:rsid w:val="009B38A4"/>
    <w:rsid w:val="009B3FD6"/>
    <w:rsid w:val="009B6B90"/>
    <w:rsid w:val="009B7346"/>
    <w:rsid w:val="009C232E"/>
    <w:rsid w:val="009C2B8F"/>
    <w:rsid w:val="009D1813"/>
    <w:rsid w:val="009E5241"/>
    <w:rsid w:val="009F2053"/>
    <w:rsid w:val="009F2D33"/>
    <w:rsid w:val="009F62D4"/>
    <w:rsid w:val="00A003BC"/>
    <w:rsid w:val="00A033E4"/>
    <w:rsid w:val="00A04BA9"/>
    <w:rsid w:val="00A07ACE"/>
    <w:rsid w:val="00A13533"/>
    <w:rsid w:val="00A14495"/>
    <w:rsid w:val="00A33A7B"/>
    <w:rsid w:val="00A359F5"/>
    <w:rsid w:val="00A41273"/>
    <w:rsid w:val="00A413B4"/>
    <w:rsid w:val="00A431B5"/>
    <w:rsid w:val="00A455B3"/>
    <w:rsid w:val="00A479C6"/>
    <w:rsid w:val="00A502CD"/>
    <w:rsid w:val="00A54121"/>
    <w:rsid w:val="00A57312"/>
    <w:rsid w:val="00A57C50"/>
    <w:rsid w:val="00A63883"/>
    <w:rsid w:val="00A6414F"/>
    <w:rsid w:val="00A66FD6"/>
    <w:rsid w:val="00A67A28"/>
    <w:rsid w:val="00A67DE7"/>
    <w:rsid w:val="00A76E90"/>
    <w:rsid w:val="00A77DCC"/>
    <w:rsid w:val="00A84510"/>
    <w:rsid w:val="00A87187"/>
    <w:rsid w:val="00A903F8"/>
    <w:rsid w:val="00A9344F"/>
    <w:rsid w:val="00A94A90"/>
    <w:rsid w:val="00AA53F2"/>
    <w:rsid w:val="00AA6845"/>
    <w:rsid w:val="00AB1A14"/>
    <w:rsid w:val="00AB1D6A"/>
    <w:rsid w:val="00AB37B8"/>
    <w:rsid w:val="00AB4FD3"/>
    <w:rsid w:val="00AB5AA9"/>
    <w:rsid w:val="00AB75F2"/>
    <w:rsid w:val="00AC3464"/>
    <w:rsid w:val="00AC5A6B"/>
    <w:rsid w:val="00AC6436"/>
    <w:rsid w:val="00AD3799"/>
    <w:rsid w:val="00AD65B0"/>
    <w:rsid w:val="00AD768F"/>
    <w:rsid w:val="00AE0AC5"/>
    <w:rsid w:val="00AE2BC6"/>
    <w:rsid w:val="00AE48D2"/>
    <w:rsid w:val="00AE5E04"/>
    <w:rsid w:val="00AE6115"/>
    <w:rsid w:val="00AE78CA"/>
    <w:rsid w:val="00AF2388"/>
    <w:rsid w:val="00AF4990"/>
    <w:rsid w:val="00AF66E4"/>
    <w:rsid w:val="00B01360"/>
    <w:rsid w:val="00B01538"/>
    <w:rsid w:val="00B03987"/>
    <w:rsid w:val="00B04E8B"/>
    <w:rsid w:val="00B06937"/>
    <w:rsid w:val="00B1011E"/>
    <w:rsid w:val="00B10B0E"/>
    <w:rsid w:val="00B15E51"/>
    <w:rsid w:val="00B25A06"/>
    <w:rsid w:val="00B26214"/>
    <w:rsid w:val="00B2784F"/>
    <w:rsid w:val="00B30555"/>
    <w:rsid w:val="00B32DE1"/>
    <w:rsid w:val="00B34E27"/>
    <w:rsid w:val="00B36D4B"/>
    <w:rsid w:val="00B43B98"/>
    <w:rsid w:val="00B4529E"/>
    <w:rsid w:val="00B45E82"/>
    <w:rsid w:val="00B46A28"/>
    <w:rsid w:val="00B51C58"/>
    <w:rsid w:val="00B5358B"/>
    <w:rsid w:val="00B55CAC"/>
    <w:rsid w:val="00B63137"/>
    <w:rsid w:val="00B64AC9"/>
    <w:rsid w:val="00B667C3"/>
    <w:rsid w:val="00B71982"/>
    <w:rsid w:val="00B76AF8"/>
    <w:rsid w:val="00B76F22"/>
    <w:rsid w:val="00B777B6"/>
    <w:rsid w:val="00B77AEF"/>
    <w:rsid w:val="00B809F8"/>
    <w:rsid w:val="00B8504E"/>
    <w:rsid w:val="00B93DB0"/>
    <w:rsid w:val="00BA2069"/>
    <w:rsid w:val="00BA25F3"/>
    <w:rsid w:val="00BA4ECD"/>
    <w:rsid w:val="00BA515F"/>
    <w:rsid w:val="00BB2356"/>
    <w:rsid w:val="00BB2B63"/>
    <w:rsid w:val="00BB3564"/>
    <w:rsid w:val="00BB37B6"/>
    <w:rsid w:val="00BC1EC3"/>
    <w:rsid w:val="00BC51D6"/>
    <w:rsid w:val="00BC5738"/>
    <w:rsid w:val="00BC7AE1"/>
    <w:rsid w:val="00BD082C"/>
    <w:rsid w:val="00BD25E4"/>
    <w:rsid w:val="00BE2D96"/>
    <w:rsid w:val="00BE34A1"/>
    <w:rsid w:val="00BE451A"/>
    <w:rsid w:val="00BE5461"/>
    <w:rsid w:val="00BE588C"/>
    <w:rsid w:val="00BE786E"/>
    <w:rsid w:val="00BF1DF9"/>
    <w:rsid w:val="00BF7B44"/>
    <w:rsid w:val="00C00F09"/>
    <w:rsid w:val="00C025A4"/>
    <w:rsid w:val="00C15D8C"/>
    <w:rsid w:val="00C2172B"/>
    <w:rsid w:val="00C25B8F"/>
    <w:rsid w:val="00C277C4"/>
    <w:rsid w:val="00C36635"/>
    <w:rsid w:val="00C37C3F"/>
    <w:rsid w:val="00C43B7D"/>
    <w:rsid w:val="00C45CAC"/>
    <w:rsid w:val="00C52132"/>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257E"/>
    <w:rsid w:val="00C92F0D"/>
    <w:rsid w:val="00CA40DE"/>
    <w:rsid w:val="00CA4BE2"/>
    <w:rsid w:val="00CA65F5"/>
    <w:rsid w:val="00CB0600"/>
    <w:rsid w:val="00CB4B98"/>
    <w:rsid w:val="00CB72F7"/>
    <w:rsid w:val="00CC4A5C"/>
    <w:rsid w:val="00CD0EDD"/>
    <w:rsid w:val="00CD4C3D"/>
    <w:rsid w:val="00CD6E03"/>
    <w:rsid w:val="00CE5A82"/>
    <w:rsid w:val="00CF01EB"/>
    <w:rsid w:val="00CF0B59"/>
    <w:rsid w:val="00CF4CCD"/>
    <w:rsid w:val="00CF6FAF"/>
    <w:rsid w:val="00CF7EAE"/>
    <w:rsid w:val="00D02E5F"/>
    <w:rsid w:val="00D0367D"/>
    <w:rsid w:val="00D04930"/>
    <w:rsid w:val="00D06076"/>
    <w:rsid w:val="00D06673"/>
    <w:rsid w:val="00D1117B"/>
    <w:rsid w:val="00D13D81"/>
    <w:rsid w:val="00D15C99"/>
    <w:rsid w:val="00D20007"/>
    <w:rsid w:val="00D22B2F"/>
    <w:rsid w:val="00D243AC"/>
    <w:rsid w:val="00D25D60"/>
    <w:rsid w:val="00D30C74"/>
    <w:rsid w:val="00D34BB0"/>
    <w:rsid w:val="00D35CE2"/>
    <w:rsid w:val="00D363E6"/>
    <w:rsid w:val="00D36F13"/>
    <w:rsid w:val="00D37C6E"/>
    <w:rsid w:val="00D42363"/>
    <w:rsid w:val="00D458DC"/>
    <w:rsid w:val="00D45B73"/>
    <w:rsid w:val="00D472B6"/>
    <w:rsid w:val="00D47543"/>
    <w:rsid w:val="00D53B6B"/>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860"/>
    <w:rsid w:val="00DA4BF4"/>
    <w:rsid w:val="00DA7245"/>
    <w:rsid w:val="00DB4472"/>
    <w:rsid w:val="00DB4988"/>
    <w:rsid w:val="00DC00C8"/>
    <w:rsid w:val="00DC271F"/>
    <w:rsid w:val="00DD11FF"/>
    <w:rsid w:val="00DD16DF"/>
    <w:rsid w:val="00DD16EF"/>
    <w:rsid w:val="00DD3F16"/>
    <w:rsid w:val="00DD3F8F"/>
    <w:rsid w:val="00DD58F9"/>
    <w:rsid w:val="00DD6912"/>
    <w:rsid w:val="00DE1A8E"/>
    <w:rsid w:val="00DE2577"/>
    <w:rsid w:val="00DE6B14"/>
    <w:rsid w:val="00DF05B9"/>
    <w:rsid w:val="00DF44DF"/>
    <w:rsid w:val="00DF4D9F"/>
    <w:rsid w:val="00E01FD5"/>
    <w:rsid w:val="00E0318A"/>
    <w:rsid w:val="00E04361"/>
    <w:rsid w:val="00E04FAF"/>
    <w:rsid w:val="00E0533F"/>
    <w:rsid w:val="00E0603B"/>
    <w:rsid w:val="00E16B7F"/>
    <w:rsid w:val="00E2046B"/>
    <w:rsid w:val="00E229E5"/>
    <w:rsid w:val="00E2351F"/>
    <w:rsid w:val="00E31E8F"/>
    <w:rsid w:val="00E31F6C"/>
    <w:rsid w:val="00E40EFD"/>
    <w:rsid w:val="00E42905"/>
    <w:rsid w:val="00E50227"/>
    <w:rsid w:val="00E50659"/>
    <w:rsid w:val="00E5067E"/>
    <w:rsid w:val="00E62DFA"/>
    <w:rsid w:val="00E63F8A"/>
    <w:rsid w:val="00E63FED"/>
    <w:rsid w:val="00E64F34"/>
    <w:rsid w:val="00E70525"/>
    <w:rsid w:val="00E72B00"/>
    <w:rsid w:val="00E75AC0"/>
    <w:rsid w:val="00E76EB7"/>
    <w:rsid w:val="00E77CD5"/>
    <w:rsid w:val="00E80A27"/>
    <w:rsid w:val="00E8339A"/>
    <w:rsid w:val="00E83724"/>
    <w:rsid w:val="00E839EC"/>
    <w:rsid w:val="00E83C46"/>
    <w:rsid w:val="00E964C2"/>
    <w:rsid w:val="00EA286F"/>
    <w:rsid w:val="00EA3EEE"/>
    <w:rsid w:val="00EA5A18"/>
    <w:rsid w:val="00EA6377"/>
    <w:rsid w:val="00EB220B"/>
    <w:rsid w:val="00EB28A7"/>
    <w:rsid w:val="00EB49CA"/>
    <w:rsid w:val="00EB4CB9"/>
    <w:rsid w:val="00EB54D2"/>
    <w:rsid w:val="00EB5E71"/>
    <w:rsid w:val="00EC1436"/>
    <w:rsid w:val="00ED039E"/>
    <w:rsid w:val="00ED29A9"/>
    <w:rsid w:val="00ED3A56"/>
    <w:rsid w:val="00EE009D"/>
    <w:rsid w:val="00EE07A5"/>
    <w:rsid w:val="00EE1920"/>
    <w:rsid w:val="00EE578E"/>
    <w:rsid w:val="00EE57D4"/>
    <w:rsid w:val="00EF1397"/>
    <w:rsid w:val="00EF49D2"/>
    <w:rsid w:val="00EF510E"/>
    <w:rsid w:val="00EF5C73"/>
    <w:rsid w:val="00F02E7E"/>
    <w:rsid w:val="00F06C6F"/>
    <w:rsid w:val="00F0792F"/>
    <w:rsid w:val="00F07969"/>
    <w:rsid w:val="00F07E74"/>
    <w:rsid w:val="00F1050B"/>
    <w:rsid w:val="00F10F82"/>
    <w:rsid w:val="00F118E2"/>
    <w:rsid w:val="00F15271"/>
    <w:rsid w:val="00F2334E"/>
    <w:rsid w:val="00F2360D"/>
    <w:rsid w:val="00F24455"/>
    <w:rsid w:val="00F3008B"/>
    <w:rsid w:val="00F300FA"/>
    <w:rsid w:val="00F30418"/>
    <w:rsid w:val="00F32185"/>
    <w:rsid w:val="00F340D8"/>
    <w:rsid w:val="00F467B1"/>
    <w:rsid w:val="00F524BE"/>
    <w:rsid w:val="00F533DC"/>
    <w:rsid w:val="00F53C3A"/>
    <w:rsid w:val="00F55A0D"/>
    <w:rsid w:val="00F65436"/>
    <w:rsid w:val="00F73658"/>
    <w:rsid w:val="00F74BB7"/>
    <w:rsid w:val="00F77511"/>
    <w:rsid w:val="00F82608"/>
    <w:rsid w:val="00F83002"/>
    <w:rsid w:val="00F909B1"/>
    <w:rsid w:val="00F94EAA"/>
    <w:rsid w:val="00FA7498"/>
    <w:rsid w:val="00FB18BD"/>
    <w:rsid w:val="00FB4723"/>
    <w:rsid w:val="00FB5DB0"/>
    <w:rsid w:val="00FC0170"/>
    <w:rsid w:val="00FC0F5C"/>
    <w:rsid w:val="00FC67F9"/>
    <w:rsid w:val="00FC6A90"/>
    <w:rsid w:val="00FD0D01"/>
    <w:rsid w:val="00FD29CE"/>
    <w:rsid w:val="00FD38FA"/>
    <w:rsid w:val="00FD5BE8"/>
    <w:rsid w:val="00FD7DD7"/>
    <w:rsid w:val="00FE3E9A"/>
    <w:rsid w:val="00FF1F9C"/>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x-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i:component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2.xml><?xml version="1.0" encoding="utf-8"?>
<odx:xpath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to-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to-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aus-aics-status-pure-substance">
    <odx:dataBinding xpath="/material/aus-aics-status = 'AICS listed pure substance.'" storeItemID="{A29FFE5D-89DD-4EAC-BCEF-2867E6BF0621}"/>
  </odx:xpath>
  <odx:xpath id="aus-aics-status-all-listed">
    <odx:dataBinding xpath="/material/aus-aics-status = 'Formulations where all components are AICS listed.'" storeItemID="{A29FFE5D-89DD-4EAC-BCEF-2867E6BF0621}"/>
  </odx:xpath>
  <odx:xpath id="aus-aics-status-commercial-eval">
    <odx:dataBinding xpath="/material/aus-aics-status = 'Permit approved material commercial evaluation &lt;1 tonne.'" storeItemID="{A29FFE5D-89DD-4EAC-BCEF-2867E6BF0621}"/>
  </odx:xpath>
  <odx:xpath id="aus-aics-status-low-volume">
    <odx:dataBinding xpath="/material/aus-aics-status = 'Permit approved material low volume / low hazard &lt;100 kg.'" storeItemID="{A29FFE5D-89DD-4EAC-BCEF-2867E6BF0621}"/>
  </odx:xpath>
  <odx:xpath id="aus-aics-status-polymer">
    <odx:dataBinding xpath="/material/aus-aics-status = 'Assessment certified material polymers of low concern.'" storeItemID="{A29FFE5D-89DD-4EAC-BCEF-2867E6BF0621}"/>
  </odx:xpath>
  <odx:xpath id="aus-aics-status-limited-notification">
    <odx:dataBinding xpath="/material/aus-aics-status = 'Assessment certified material limited notification.'" storeItemID="{A29FFE5D-89DD-4EAC-BCEF-2867E6BF0621}"/>
  </odx:xpath>
  <odx:xpath id="aus-aics-status-standard-notification">
    <odx:dataBinding xpath="/material/aus-aics-status = 'Assessment certified material standard notification (full).'" storeItemID="{A29FFE5D-89DD-4EAC-BCEF-2867E6BF0621}"/>
  </odx:xpath>
  <odx:xpath id="aus-aics-status-standard-r-and-d">
    <odx:dataBinding xpath="/material/aus-aics-status = 'R&amp;D use only - not for resale.'" storeItemID="{A29FFE5D-89DD-4EAC-BCEF-2867E6BF0621}"/>
  </odx:xpath>
  <odx:xpath id="aus-aics-status-low-volume-exemption">
    <odx:dataBinding xpath="/material/aus-aics-status = 'Imported under NICNAS low volume exemption.'" storeItemID="{A29FFE5D-89DD-4EAC-BCEF-2867E6BF0621}"/>
  </odx:xpath>
  <odx:xpath id="aus-aics-status-unknown">
    <odx:dataBinding xpath="/material/aus-aics-status = 'Unknown'" storeItemID="{A29FFE5D-89DD-4EAC-BCEF-2867E6BF0621}"/>
  </odx:xpath>
  <odx:xpath id="supplier-email">
    <odx:dataBinding xpath="/material/supplier-email" storeItemID="{A29FFE5D-89DD-4EAC-BCEF-2867E6BF0621}"/>
  </odx:xpath>
  <odx:xpath id="has-supplier-email">
    <odx:dataBinding xpath="string-length(/material/supplier-email) &gt; 0" storeItemID="{A29FFE5D-89DD-4EAC-BCEF-2867E6BF0621}"/>
  </odx:xpath>
  <odx:xpath id="synonym-name_0">
    <odx:dataBinding xpath="/material/synonyms/synonym[1]/synonym.name" storeItemID="{A29FFE5D-89DD-4EAC-BCEF-2867E6BF0621}"/>
  </odx:xpath>
  <odx:xpath id="synonym-id_0">
    <odx:dataBinding xpath="/material/synonyms/synonym[1]/synonym.id" storeItemID="{A29FFE5D-89DD-4EAC-BCEF-2867E6BF0621}"/>
  </odx:xpath>
  <odx:xpath id="synonym-barcode_0">
    <odx:dataBinding xpath="/material/synonyms/synonym[1]/synonym.barcode" storeItemID="{A29FFE5D-89DD-4EAC-BCEF-2867E6BF0621}"/>
  </odx:xpath>
  <odx:xpath id="synonym-name_1">
    <odx:dataBinding xpath="/material/synonyms/synonym[2]/synonym.name" storeItemID="{A29FFE5D-89DD-4EAC-BCEF-2867E6BF0621}"/>
  </odx:xpath>
  <odx:xpath id="synonym-id_1">
    <odx:dataBinding xpath="/material/synonyms/synonym[2]/synonym.id" storeItemID="{A29FFE5D-89DD-4EAC-BCEF-2867E6BF0621}"/>
  </odx:xpath>
  <odx:xpath id="synonym-barcode_1">
    <odx:dataBinding xpath="/material/synonyms/synonym[2]/synonym.barcode" storeItemID="{A29FFE5D-89DD-4EAC-BCEF-2867E6BF0621}"/>
  </odx:xpath>
  <odx:xpath id="hazard-classification_0">
    <odx:dataBinding xpath="/material/aus-hazard-classifications/aus-hazard-classification[1]" storeItemID="{A29FFE5D-89DD-4EAC-BCEF-2867E6BF0621}"/>
  </odx:xpath>
  <odx:xpath id="aus-ghs-pic_0">
    <odx:dataBinding xpath="/material/aus-pictograms/aus-pictogram[1]/aus-pictogram.image" storeItemID="{A29FFE5D-89DD-4EAC-BCEF-2867E6BF0621}"/>
  </odx:xpath>
  <odx:xpath id="h-health-code_0">
    <odx:dataBinding xpath="/material/aus-hazard-statements-health/aus-hazard-statements-health[1]/statement.code" storeItemID="{A29FFE5D-89DD-4EAC-BCEF-2867E6BF0621}"/>
  </odx:xpath>
  <odx:xpath id="h-health-text_0">
    <odx:dataBinding xpath="/material/aus-hazard-statements-health/aus-hazard-statements-health[1]/statement.text" storeItemID="{A29FFE5D-89DD-4EAC-BCEF-2867E6BF0621}"/>
  </odx:xpath>
  <odx:xpath id="prevention-p-code_0">
    <odx:dataBinding xpath="/material/aus-precautionary-phrases-prevention/aus-precautionary-phrases-prevention[1]/statement.code" storeItemID="{A29FFE5D-89DD-4EAC-BCEF-2867E6BF0621}"/>
  </odx:xpath>
  <odx:xpath id="prevention-p-text_0">
    <odx:dataBinding xpath="/material/aus-precautionary-phrases-prevention/aus-precautionary-phrases-prevention[1]/statement.text" storeItemID="{A29FFE5D-89DD-4EAC-BCEF-2867E6BF0621}"/>
  </odx:xpath>
  <odx:xpath id="prevention-p-code_1">
    <odx:dataBinding xpath="/material/aus-precautionary-phrases-prevention/aus-precautionary-phrases-prevention[2]/statement.code" storeItemID="{A29FFE5D-89DD-4EAC-BCEF-2867E6BF0621}"/>
  </odx:xpath>
  <odx:xpath id="prevention-p-text_1">
    <odx:dataBinding xpath="/material/aus-precautionary-phrases-prevention/aus-precautionary-phrases-prevention[2]/statement.text" storeItemID="{A29FFE5D-89DD-4EAC-BCEF-2867E6BF0621}"/>
  </odx:xpath>
  <odx:xpath id="response-p-code_0">
    <odx:dataBinding xpath="/material/aus-precautionary-phrases-response/aus-precautionary-phrases-response[1]/statement.code" storeItemID="{A29FFE5D-89DD-4EAC-BCEF-2867E6BF0621}"/>
  </odx:xpath>
  <odx:xpath id="response-p-text_0">
    <odx:dataBinding xpath="/material/aus-precautionary-phrases-response/aus-precautionary-phrases-response[1]/statement.text" storeItemID="{A29FFE5D-89DD-4EAC-BCEF-2867E6BF0621}"/>
  </odx:xpath>
  <odx:xpath id="response-p-code_1">
    <odx:dataBinding xpath="/material/aus-precautionary-phrases-response/aus-precautionary-phrases-response[2]/statement.code" storeItemID="{A29FFE5D-89DD-4EAC-BCEF-2867E6BF0621}"/>
  </odx:xpath>
  <odx:xpath id="response-p-text_1">
    <odx:dataBinding xpath="/material/aus-precautionary-phrases-response/aus-precautionary-phrases-response[2]/statement.text" storeItemID="{A29FFE5D-89DD-4EAC-BCEF-2867E6BF0621}"/>
  </odx:xpath>
  <odx:xpath id="response-p-code_2">
    <odx:dataBinding xpath="/material/aus-precautionary-phrases-response/aus-precautionary-phrases-response[3]/statement.code" storeItemID="{A29FFE5D-89DD-4EAC-BCEF-2867E6BF0621}"/>
  </odx:xpath>
  <odx:xpath id="response-p-text_2">
    <odx:dataBinding xpath="/material/aus-precautionary-phrases-response/aus-precautionary-phrases-response[3]/statement.text" storeItemID="{A29FFE5D-89DD-4EAC-BCEF-2867E6BF0621}"/>
  </odx:xpath>
  <odx:xpath id="storage-p-code_0">
    <odx:dataBinding xpath="/material/aus-precautionary-phrases-storage/aus-precautionary-phrases-storage[1]/statement.code" storeItemID="{A29FFE5D-89DD-4EAC-BCEF-2867E6BF0621}"/>
  </odx:xpath>
  <odx:xpath id="storage-p-text_0">
    <odx:dataBinding xpath="/material/aus-precautionary-phrases-storage/aus-precautionary-phrases-storage[1]/statement.text" storeItemID="{A29FFE5D-89DD-4EAC-BCEF-2867E6BF0621}"/>
  </odx:xpath>
  <odx:xpath id="disposal-p-code_0">
    <odx:dataBinding xpath="/material/aus-precautionary-phrases-disposal/aus-precautionary-phrases-disposal[1]/statement.code" storeItemID="{A29FFE5D-89DD-4EAC-BCEF-2867E6BF0621}"/>
  </odx:xpath>
  <odx:xpath id="disposal-p-text_0">
    <odx:dataBinding xpath="/material/aus-precautionary-phrases-disposal/aus-precautionary-phrases-disposal[1]/statement.text"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ppe-image_4">
    <odx:dataBinding xpath="/material/material-ppe-icons/material-ppe-icon[5]/material-ppe-icon.image" storeItemID="{A29FFE5D-89DD-4EAC-BCEF-2867E6BF0621}"/>
  </odx:xpath>
  <odx:xpath id="reason-for-issue_0">
    <odx:dataBinding xpath="/material/document-reasons-for-issue/document-reasons-for-issue[1]" storeItemID="{A29FFE5D-89DD-4EAC-BCEF-2867E6BF0621}"/>
  </odx:xpath>
</odx:xpaths>
</file>

<file path=customXml/item3.xml><?xml version="1.0" encoding="utf-8"?>
<odc:condition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 id="aus-aics-status-pure-substance">
    <odc:xpathref id="aus-aics-status-pure-substance"/>
  </odc:condition>
  <odc:condition id="aus-aics-status-all-listed">
    <odc:xpathref id="aus-aics-status-all-listed"/>
  </odc:condition>
  <odc:condition id="aus-aics-status-commercial-eval">
    <odc:xpathref id="aus-aics-status-commercial-eval"/>
  </odc:condition>
  <odc:condition id="aus-aics-status-low-volume">
    <odc:xpathref id="aus-aics-status-low-volume"/>
  </odc:condition>
  <odc:condition id="aus-aics-status-polymer">
    <odc:xpathref id="aus-aics-status-polymer"/>
  </odc:condition>
  <odc:condition id="aus-aics-status-limited-notification">
    <odc:xpathref id="aus-aics-status-limited-notification"/>
  </odc:condition>
  <odc:condition id="aus-aics-status-standard-notification">
    <odc:xpathref id="aus-aics-status-standard-notification"/>
  </odc:condition>
  <odc:condition id="aus-aics-status-standard-r-and-d">
    <odc:xpathref id="aus-aics-status-standard-r-and-d"/>
  </odc:condition>
  <odc:condition id="aus-aics-status-low-volume-exemption">
    <odc:xpathref id="aus-aics-status-low-volume-exemption"/>
  </odc:condition>
  <odc:condition id="aus-aics-status-unknown">
    <odc:xpathref id="aus-aics-status-unknown"/>
  </odc:condition>
  <odc:condition id="has-supplier-email">
    <odc:xpathref id="has-supplier-email"/>
  </odc:condition>
</odc:conditions>
</file>

<file path=customXml/item4.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82402D56-B60D-4F88-8104-F5412D9EE0AF}">
  <ds:schemaRef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5</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14204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Administrator</cp:lastModifiedBy>
  <cp:revision>96</cp:revision>
  <dcterms:created xsi:type="dcterms:W3CDTF">2016-06-15T02:45:00Z</dcterms:created>
  <dcterms:modified xsi:type="dcterms:W3CDTF">2017-10-09T02:51:00Z</dcterms:modified>
</cp:coreProperties>
</file>